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F4" w:rsidRPr="004F15A2" w:rsidRDefault="004F15A2" w:rsidP="009123DD">
      <w:pPr>
        <w:rPr>
          <w:lang w:val="fr-FR"/>
        </w:rPr>
      </w:pPr>
      <w:r>
        <w:rPr>
          <w:rFonts w:ascii="Calibri" w:eastAsia="Calibri" w:hAnsi="Calibri" w:cs="Times New Roman"/>
          <w:lang w:val="fr-CA"/>
        </w:rPr>
        <w:t>Ce document décrit les responsabilités des districts scolaires en vertu du Règlement sur la santé et la sécurité au travail en matière de prévention de la violence en milieu de travail. Il est destiné à informer l’emp</w:t>
      </w:r>
      <w:r>
        <w:rPr>
          <w:rFonts w:ascii="Calibri" w:eastAsia="Calibri" w:hAnsi="Calibri" w:cs="Times New Roman"/>
          <w:lang w:val="fr-CA"/>
        </w:rPr>
        <w:t>loyeur, les professionnels de la santé et de la sécurité du district et les autres membres du personnel concernés par les aspects de la santé et de la sécurité scolaires.</w:t>
      </w:r>
    </w:p>
    <w:p w:rsidR="009B6CF4" w:rsidRPr="004F15A2" w:rsidRDefault="004F15A2" w:rsidP="009123DD">
      <w:pPr>
        <w:rPr>
          <w:b/>
          <w:lang w:val="fr-FR"/>
        </w:rPr>
      </w:pPr>
      <w:r>
        <w:rPr>
          <w:rFonts w:ascii="Calibri" w:eastAsia="Calibri" w:hAnsi="Calibri" w:cs="Times New Roman"/>
          <w:b/>
          <w:bCs/>
          <w:lang w:val="fr-CA"/>
        </w:rPr>
        <w:t>Utilisat</w:t>
      </w:r>
      <w:r>
        <w:rPr>
          <w:rFonts w:ascii="Calibri" w:eastAsia="Calibri" w:hAnsi="Calibri" w:cs="Times New Roman"/>
          <w:b/>
          <w:bCs/>
          <w:lang w:val="fr-CA"/>
        </w:rPr>
        <w:t>ion de ce document</w:t>
      </w:r>
    </w:p>
    <w:p w:rsidR="009B6CF4" w:rsidRPr="004F15A2" w:rsidRDefault="004F15A2" w:rsidP="009123DD">
      <w:pPr>
        <w:rPr>
          <w:lang w:val="fr-FR"/>
        </w:rPr>
      </w:pPr>
      <w:bookmarkStart w:id="0" w:name="_GoBack"/>
      <w:r>
        <w:rPr>
          <w:noProof/>
          <w:lang w:val="en-US" w:eastAsia="zh-CN"/>
        </w:rPr>
        <mc:AlternateContent>
          <mc:Choice Requires="wpg">
            <w:drawing>
              <wp:anchor distT="0" distB="0" distL="228600" distR="228600" simplePos="0" relativeHeight="251659264" behindDoc="0" locked="0" layoutInCell="1" allowOverlap="1">
                <wp:simplePos x="0" y="0"/>
                <wp:positionH relativeFrom="margin">
                  <wp:posOffset>3159760</wp:posOffset>
                </wp:positionH>
                <wp:positionV relativeFrom="page">
                  <wp:posOffset>3569335</wp:posOffset>
                </wp:positionV>
                <wp:extent cx="2853055" cy="1173480"/>
                <wp:effectExtent l="0" t="0" r="23495" b="26670"/>
                <wp:wrapSquare wrapText="bothSides"/>
                <wp:docPr id="173" name="Group 173"/>
                <wp:cNvGraphicFramePr/>
                <a:graphic xmlns:a="http://schemas.openxmlformats.org/drawingml/2006/main">
                  <a:graphicData uri="http://schemas.microsoft.com/office/word/2010/wordprocessingGroup">
                    <wpg:wgp>
                      <wpg:cNvGrpSpPr/>
                      <wpg:grpSpPr>
                        <a:xfrm>
                          <a:off x="0" y="0"/>
                          <a:ext cx="2853055" cy="1173480"/>
                          <a:chOff x="-215452" y="2048734"/>
                          <a:chExt cx="3626601" cy="1545255"/>
                        </a:xfrm>
                      </wpg:grpSpPr>
                      <wps:wsp>
                        <wps:cNvPr id="174" name="Rectangle 174"/>
                        <wps:cNvSpPr/>
                        <wps:spPr>
                          <a:xfrm>
                            <a:off x="-196855" y="2088262"/>
                            <a:ext cx="3608004" cy="1505727"/>
                          </a:xfrm>
                          <a:prstGeom prst="rect">
                            <a:avLst/>
                          </a:prstGeom>
                          <a:solidFill>
                            <a:schemeClr val="bg1">
                              <a:alpha val="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8" name="Text Box 178"/>
                        <wps:cNvSpPr txBox="1"/>
                        <wps:spPr>
                          <a:xfrm>
                            <a:off x="-215452" y="2048734"/>
                            <a:ext cx="3443436" cy="1508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5788" w:rsidRPr="004F15A2" w:rsidRDefault="004F15A2" w:rsidP="00AF5400">
                              <w:pPr>
                                <w:spacing w:after="0"/>
                                <w:ind w:left="142"/>
                                <w:jc w:val="both"/>
                                <w:rPr>
                                  <w:smallCaps/>
                                  <w:color w:val="ED7D31" w:themeColor="accent2"/>
                                  <w:sz w:val="18"/>
                                  <w:szCs w:val="18"/>
                                  <w:lang w:val="fr-FR"/>
                                </w:rPr>
                              </w:pPr>
                              <w:r>
                                <w:rPr>
                                  <w:rStyle w:val="Emphasis"/>
                                  <w:rFonts w:ascii="Calibri" w:eastAsia="Calibri" w:hAnsi="Calibri" w:cs="Times New Roman"/>
                                  <w:color w:val="ED7D31"/>
                                  <w:sz w:val="18"/>
                                  <w:szCs w:val="18"/>
                                  <w:lang w:val="fr-CA"/>
                                </w:rPr>
                                <w:t>Violence</w:t>
                              </w:r>
                              <w:r>
                                <w:rPr>
                                  <w:rStyle w:val="Emphasis"/>
                                  <w:rFonts w:ascii="Calibri" w:eastAsia="Calibri" w:hAnsi="Calibri" w:cs="Times New Roman"/>
                                  <w:i w:val="0"/>
                                  <w:iCs w:val="0"/>
                                  <w:color w:val="ED7D31"/>
                                  <w:sz w:val="18"/>
                                  <w:szCs w:val="18"/>
                                  <w:lang w:val="fr-CA"/>
                                </w:rPr>
                                <w:t xml:space="preserve"> désigne l’exercice, tenté ou réel, par une personne autre qu’un travailleur, de toute force physique de manière à causer un préjudice à un travailleur, et comprend toute déclarat</w:t>
                              </w:r>
                              <w:r>
                                <w:rPr>
                                  <w:rStyle w:val="Emphasis"/>
                                  <w:rFonts w:ascii="Calibri" w:eastAsia="Calibri" w:hAnsi="Calibri" w:cs="Times New Roman"/>
                                  <w:i w:val="0"/>
                                  <w:iCs w:val="0"/>
                                  <w:color w:val="ED7D31"/>
                                  <w:sz w:val="18"/>
                                  <w:szCs w:val="18"/>
                                  <w:lang w:val="fr-CA"/>
                                </w:rPr>
                                <w:t>ion ou tout comportement menaçant qui donne à un travailleur un motif raisonnable de croire qu’il risque d’être blessé.</w:t>
                              </w:r>
                            </w:p>
                            <w:p w:rsidR="00845788" w:rsidRDefault="004F15A2">
                              <w:pPr>
                                <w:pStyle w:val="NoSpacing"/>
                                <w:ind w:left="360"/>
                                <w:jc w:val="right"/>
                                <w:rPr>
                                  <w:color w:val="5B9BD5" w:themeColor="accent1"/>
                                  <w:sz w:val="20"/>
                                  <w:szCs w:val="20"/>
                                </w:rPr>
                              </w:pPr>
                              <w:r>
                                <w:rPr>
                                  <w:rFonts w:ascii="Calibri" w:eastAsia="Calibri" w:hAnsi="Calibri" w:cs="Times New Roman"/>
                                  <w:color w:val="5B9BD5"/>
                                  <w:sz w:val="20"/>
                                  <w:szCs w:val="20"/>
                                  <w:lang w:val="fr-CA"/>
                                </w:rPr>
                                <w:t xml:space="preserve">OHSR – Section 4.27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73" o:spid="_x0000_s1026" style="position:absolute;margin-left:248.8pt;margin-top:281.05pt;width:224.65pt;height:92.4pt;z-index:251659264;mso-wrap-distance-left:18pt;mso-wrap-distance-right:18pt;mso-position-horizontal-relative:margin;mso-position-vertical-relative:page;mso-width-relative:margin;mso-height-relative:margin" coordorigin="-2154,20487" coordsize="36266,1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">
                <v:rect id="Rectangle 174" o:spid="_x0000_s1027" style="position:absolute;left:-1968;top:20882;width:36079;height:15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u86cAA&#10;AADcAAAADwAAAGRycy9kb3ducmV2LnhtbERPTYvCMBC9L/gfwgje1lSRVapRRBC9eFgVeh2asa02&#10;k5LEWv31mwXB2zze5yxWnalFS85XlhWMhgkI4tzqigsF59P2ewbCB2SNtWVS8CQPq2Xva4Gptg/+&#10;pfYYChFD2KeooAyhSaX0eUkG/dA2xJG7WGcwROgKqR0+Yrip5ThJfqTBimNDiQ1tSspvx7tR4Pbn&#10;pn3OXvXumm/ohUmW8SFTatDv1nMQgbrwEb/dex3nTyfw/0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u86cAAAADcAAAADwAAAAAAAAAAAAAAAACYAgAAZHJzL2Rvd25y&#10;ZXYueG1sUEsFBgAAAAAEAAQA9QAAAIUDAAAAAA==&#10;" fillcolor="white [3212]" strokecolor="#5b9bd5 [3204]" strokeweight="1pt">
                  <v:fill opacity="0"/>
                </v:rect>
                <v:shapetype id="_x0000_t202" coordsize="21600,21600" o:spt="202" path="m,l,21600r21600,l21600,xe">
                  <v:stroke joinstyle="miter"/>
                  <v:path gradientshapeok="t" o:connecttype="rect"/>
                </v:shapetype>
                <v:shape id="Text Box 178" o:spid="_x0000_s1028" type="#_x0000_t202" style="position:absolute;left:-2154;top:20487;width:34433;height:15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rsidR="00845788" w:rsidRPr="004F15A2" w:rsidRDefault="004F15A2" w:rsidP="00AF5400">
                        <w:pPr>
                          <w:spacing w:after="0"/>
                          <w:ind w:left="142"/>
                          <w:jc w:val="both"/>
                          <w:rPr>
                            <w:smallCaps/>
                            <w:color w:val="ED7D31" w:themeColor="accent2"/>
                            <w:sz w:val="18"/>
                            <w:szCs w:val="18"/>
                            <w:lang w:val="fr-FR"/>
                          </w:rPr>
                        </w:pPr>
                        <w:r>
                          <w:rPr>
                            <w:rStyle w:val="Emphasis"/>
                            <w:rFonts w:ascii="Calibri" w:eastAsia="Calibri" w:hAnsi="Calibri" w:cs="Times New Roman"/>
                            <w:color w:val="ED7D31"/>
                            <w:sz w:val="18"/>
                            <w:szCs w:val="18"/>
                            <w:lang w:val="fr-CA"/>
                          </w:rPr>
                          <w:t>Violence</w:t>
                        </w:r>
                        <w:r>
                          <w:rPr>
                            <w:rStyle w:val="Emphasis"/>
                            <w:rFonts w:ascii="Calibri" w:eastAsia="Calibri" w:hAnsi="Calibri" w:cs="Times New Roman"/>
                            <w:i w:val="0"/>
                            <w:iCs w:val="0"/>
                            <w:color w:val="ED7D31"/>
                            <w:sz w:val="18"/>
                            <w:szCs w:val="18"/>
                            <w:lang w:val="fr-CA"/>
                          </w:rPr>
                          <w:t xml:space="preserve"> désigne l’exercice, tenté ou réel, par une personne autre qu’un travailleur, de toute force physique de manière à causer un préjudice à un travailleur, et comprend toute déclarat</w:t>
                        </w:r>
                        <w:r>
                          <w:rPr>
                            <w:rStyle w:val="Emphasis"/>
                            <w:rFonts w:ascii="Calibri" w:eastAsia="Calibri" w:hAnsi="Calibri" w:cs="Times New Roman"/>
                            <w:i w:val="0"/>
                            <w:iCs w:val="0"/>
                            <w:color w:val="ED7D31"/>
                            <w:sz w:val="18"/>
                            <w:szCs w:val="18"/>
                            <w:lang w:val="fr-CA"/>
                          </w:rPr>
                          <w:t>ion ou tout comportement menaçant qui donne à un travailleur un motif raisonnable de croire qu’il risque d’être blessé.</w:t>
                        </w:r>
                      </w:p>
                      <w:p w:rsidR="00845788" w:rsidRDefault="004F15A2">
                        <w:pPr>
                          <w:pStyle w:val="NoSpacing"/>
                          <w:ind w:left="360"/>
                          <w:jc w:val="right"/>
                          <w:rPr>
                            <w:color w:val="5B9BD5" w:themeColor="accent1"/>
                            <w:sz w:val="20"/>
                            <w:szCs w:val="20"/>
                          </w:rPr>
                        </w:pPr>
                        <w:r>
                          <w:rPr>
                            <w:rFonts w:ascii="Calibri" w:eastAsia="Calibri" w:hAnsi="Calibri" w:cs="Times New Roman"/>
                            <w:color w:val="5B9BD5"/>
                            <w:sz w:val="20"/>
                            <w:szCs w:val="20"/>
                            <w:lang w:val="fr-CA"/>
                          </w:rPr>
                          <w:t xml:space="preserve">OHSR – Section 4.27 </w:t>
                        </w:r>
                      </w:p>
                    </w:txbxContent>
                  </v:textbox>
                </v:shape>
                <w10:wrap type="square" anchorx="margin" anchory="page"/>
              </v:group>
            </w:pict>
          </mc:Fallback>
        </mc:AlternateContent>
      </w:r>
      <w:bookmarkEnd w:id="0"/>
      <w:r>
        <w:rPr>
          <w:rFonts w:ascii="Calibri" w:eastAsia="Calibri" w:hAnsi="Calibri" w:cs="Times New Roman"/>
          <w:lang w:val="fr-CA"/>
        </w:rPr>
        <w:t xml:space="preserve">Ce document n’est pas une explication complète du Règlement et n’identifie pas toutes les responsabilités de l’employeur. Cependant, il peut être utilisé comme </w:t>
      </w:r>
      <w:r>
        <w:rPr>
          <w:rFonts w:ascii="Calibri" w:eastAsia="Calibri" w:hAnsi="Calibri" w:cs="Times New Roman"/>
          <w:lang w:val="fr-CA"/>
        </w:rPr>
        <w:t>guide qui résume les obligations de conformité réglementaire du district. Des informations et des conseils supplémentaires peuvent être trouvés dans les ressources connexes identifiées à la fin de ce document.</w:t>
      </w:r>
    </w:p>
    <w:p w:rsidR="009123DD" w:rsidRPr="004F15A2" w:rsidRDefault="004F15A2" w:rsidP="009123DD">
      <w:pPr>
        <w:rPr>
          <w:b/>
          <w:lang w:val="fr-FR"/>
        </w:rPr>
      </w:pPr>
      <w:r>
        <w:rPr>
          <w:rFonts w:ascii="Calibri" w:eastAsia="Calibri" w:hAnsi="Calibri" w:cs="Times New Roman"/>
          <w:b/>
          <w:bCs/>
          <w:lang w:val="fr-CA"/>
        </w:rPr>
        <w:t>À quoi ressemble la conformité au Règlement dans les écoles de la Colombie-</w:t>
      </w:r>
      <w:proofErr w:type="gramStart"/>
      <w:r>
        <w:rPr>
          <w:rFonts w:ascii="Calibri" w:eastAsia="Calibri" w:hAnsi="Calibri" w:cs="Times New Roman"/>
          <w:b/>
          <w:bCs/>
          <w:lang w:val="fr-CA"/>
        </w:rPr>
        <w:t>Britannique?</w:t>
      </w:r>
      <w:proofErr w:type="gramEnd"/>
    </w:p>
    <w:p w:rsidR="009123DD" w:rsidRPr="004F15A2" w:rsidRDefault="004F15A2" w:rsidP="009123DD">
      <w:pPr>
        <w:rPr>
          <w:lang w:val="fr-FR"/>
        </w:rPr>
      </w:pPr>
      <w:r>
        <w:rPr>
          <w:rFonts w:ascii="Calibri" w:eastAsia="Calibri" w:hAnsi="Calibri" w:cs="Times New Roman"/>
          <w:lang w:val="fr-CA"/>
        </w:rPr>
        <w:t>La conformité signifie agir conformément aux exigences de la</w:t>
      </w:r>
      <w:r>
        <w:rPr>
          <w:rFonts w:ascii="Calibri" w:eastAsia="Calibri" w:hAnsi="Calibri" w:cs="Times New Roman"/>
          <w:lang w:val="fr-CA"/>
        </w:rPr>
        <w:t xml:space="preserve"> réglementation. Pour ce faire, l’employeur, représenté par les cadres du district scolaire, doit nommer des superviseurs (directeurs et gestionnaires) et prendre toutes les mesures raisonnables pour s’assurer que, au minimum, tout ce qui est requis par le</w:t>
      </w:r>
      <w:r>
        <w:rPr>
          <w:rFonts w:ascii="Calibri" w:eastAsia="Calibri" w:hAnsi="Calibri" w:cs="Times New Roman"/>
          <w:lang w:val="fr-CA"/>
        </w:rPr>
        <w:t xml:space="preserve"> Règlement pour protéger les travailleurs contre les préjudices est fait. Ce n’est qu’à ce moment que les exigences du Règlement sont respectées.</w:t>
      </w:r>
    </w:p>
    <w:p w:rsidR="009123DD" w:rsidRPr="004F15A2" w:rsidRDefault="004F15A2" w:rsidP="009123DD">
      <w:pPr>
        <w:rPr>
          <w:b/>
          <w:lang w:val="fr-FR"/>
        </w:rPr>
      </w:pPr>
      <w:r>
        <w:rPr>
          <w:rFonts w:ascii="Calibri" w:eastAsia="Calibri" w:hAnsi="Calibri" w:cs="Times New Roman"/>
          <w:b/>
          <w:bCs/>
          <w:lang w:val="fr-CA"/>
        </w:rPr>
        <w:t>Comprendre la définition de la vi</w:t>
      </w:r>
      <w:r>
        <w:rPr>
          <w:rFonts w:ascii="Calibri" w:eastAsia="Calibri" w:hAnsi="Calibri" w:cs="Times New Roman"/>
          <w:b/>
          <w:bCs/>
          <w:lang w:val="fr-CA"/>
        </w:rPr>
        <w:t>olence au travail</w:t>
      </w:r>
    </w:p>
    <w:p w:rsidR="0020425A" w:rsidRPr="004F15A2" w:rsidRDefault="004F15A2" w:rsidP="009123DD">
      <w:pPr>
        <w:rPr>
          <w:lang w:val="fr-FR"/>
        </w:rPr>
      </w:pPr>
      <w:r>
        <w:rPr>
          <w:rFonts w:ascii="Calibri" w:eastAsia="Calibri" w:hAnsi="Calibri" w:cs="Times New Roman"/>
          <w:lang w:val="fr-CA"/>
        </w:rPr>
        <w:t>La définition de la « violence » à la section 4.27 du Règlement doit être clairement comprise, y compris les nuances de la violence dans les écoles et dans les d</w:t>
      </w:r>
      <w:r>
        <w:rPr>
          <w:rFonts w:ascii="Calibri" w:eastAsia="Calibri" w:hAnsi="Calibri" w:cs="Times New Roman"/>
          <w:lang w:val="fr-CA"/>
        </w:rPr>
        <w:t>ivers services et installations au niveau du district. Il est particulièrement important de noter que le Règlement n’exige pas que l’intention de blesser un travailleur existe pour qu’un acte de violence ait lieu.  Par exemple, un acte de violence en milie</w:t>
      </w:r>
      <w:r>
        <w:rPr>
          <w:rFonts w:ascii="Calibri" w:eastAsia="Calibri" w:hAnsi="Calibri" w:cs="Times New Roman"/>
          <w:lang w:val="fr-CA"/>
        </w:rPr>
        <w:t xml:space="preserve">u de travail se produit lorsqu’un élève frappe un travailleur pendant une dysrégulation, même si l’élève n’est pas conscient que son comportement pourrait causer des blessures physiques ou psychologiques, ou les deux, à un travailleur. </w:t>
      </w:r>
    </w:p>
    <w:p w:rsidR="004C4342" w:rsidRPr="004F15A2" w:rsidRDefault="004C4342" w:rsidP="00AF5400">
      <w:pPr>
        <w:spacing w:after="0"/>
        <w:rPr>
          <w:b/>
          <w:lang w:val="fr-FR"/>
        </w:rPr>
      </w:pPr>
    </w:p>
    <w:p w:rsidR="00B87E5C" w:rsidRPr="004F15A2" w:rsidRDefault="004F15A2" w:rsidP="00AF5400">
      <w:pPr>
        <w:spacing w:before="120"/>
        <w:rPr>
          <w:lang w:val="fr-FR"/>
        </w:rPr>
      </w:pPr>
      <w:r>
        <w:rPr>
          <w:rFonts w:ascii="Calibri" w:eastAsia="Calibri" w:hAnsi="Calibri" w:cs="Times New Roman"/>
          <w:b/>
          <w:bCs/>
          <w:lang w:val="fr-CA"/>
        </w:rPr>
        <w:t xml:space="preserve">Qu’est-ce que le Règlement me demande de </w:t>
      </w:r>
      <w:proofErr w:type="gramStart"/>
      <w:r>
        <w:rPr>
          <w:rFonts w:ascii="Calibri" w:eastAsia="Calibri" w:hAnsi="Calibri" w:cs="Times New Roman"/>
          <w:b/>
          <w:bCs/>
          <w:lang w:val="fr-CA"/>
        </w:rPr>
        <w:t>faire?</w:t>
      </w:r>
      <w:proofErr w:type="gramEnd"/>
    </w:p>
    <w:p w:rsidR="009123DD" w:rsidRPr="004F15A2" w:rsidRDefault="004F15A2" w:rsidP="009123DD">
      <w:pPr>
        <w:rPr>
          <w:lang w:val="fr-FR"/>
        </w:rPr>
      </w:pPr>
      <w:r>
        <w:rPr>
          <w:rFonts w:ascii="Calibri" w:eastAsia="Calibri" w:hAnsi="Calibri" w:cs="Times New Roman"/>
          <w:lang w:val="fr-CA"/>
        </w:rPr>
        <w:t>Le Règlement exige que les employeurs fassent ce qui suit :</w:t>
      </w:r>
    </w:p>
    <w:p w:rsidR="009123DD" w:rsidRPr="009123DD" w:rsidRDefault="004F15A2" w:rsidP="00DE1A12">
      <w:pPr>
        <w:numPr>
          <w:ilvl w:val="0"/>
          <w:numId w:val="7"/>
        </w:numPr>
        <w:spacing w:after="0"/>
      </w:pPr>
      <w:r>
        <w:rPr>
          <w:rFonts w:ascii="Calibri" w:eastAsia="Calibri" w:hAnsi="Calibri" w:cs="Times New Roman"/>
          <w:lang w:val="fr-CA"/>
        </w:rPr>
        <w:t>Évaluer le risque</w:t>
      </w:r>
    </w:p>
    <w:p w:rsidR="009123DD" w:rsidRPr="009123DD" w:rsidRDefault="004F15A2" w:rsidP="00DE1A12">
      <w:pPr>
        <w:numPr>
          <w:ilvl w:val="0"/>
          <w:numId w:val="7"/>
        </w:numPr>
        <w:spacing w:after="0"/>
      </w:pPr>
      <w:r>
        <w:rPr>
          <w:rFonts w:ascii="Calibri" w:eastAsia="Calibri" w:hAnsi="Calibri" w:cs="Times New Roman"/>
          <w:lang w:val="fr-CA"/>
        </w:rPr>
        <w:t>Contrôler le risque</w:t>
      </w:r>
    </w:p>
    <w:p w:rsidR="009123DD" w:rsidRDefault="004F15A2">
      <w:pPr>
        <w:numPr>
          <w:ilvl w:val="0"/>
          <w:numId w:val="7"/>
        </w:numPr>
        <w:spacing w:after="0"/>
      </w:pPr>
      <w:r>
        <w:rPr>
          <w:rFonts w:ascii="Calibri" w:eastAsia="Calibri" w:hAnsi="Calibri" w:cs="Times New Roman"/>
          <w:lang w:val="fr-CA"/>
        </w:rPr>
        <w:t xml:space="preserve">Fournir des instructions aux travailleurs </w:t>
      </w:r>
    </w:p>
    <w:p w:rsidR="009123DD" w:rsidRPr="009123DD" w:rsidRDefault="009123DD" w:rsidP="009123DD">
      <w:pPr>
        <w:spacing w:after="0"/>
      </w:pPr>
    </w:p>
    <w:p w:rsidR="009123DD" w:rsidRPr="008540FE" w:rsidRDefault="004F15A2" w:rsidP="009123DD">
      <w:pPr>
        <w:rPr>
          <w:b/>
        </w:rPr>
      </w:pPr>
      <w:r>
        <w:rPr>
          <w:rFonts w:ascii="Calibri" w:eastAsia="Calibri" w:hAnsi="Calibri" w:cs="Times New Roman"/>
          <w:b/>
          <w:bCs/>
          <w:lang w:val="fr-CA"/>
        </w:rPr>
        <w:t>Évaluation du risque</w:t>
      </w:r>
    </w:p>
    <w:p w:rsidR="005355B6" w:rsidRPr="004F15A2" w:rsidRDefault="004F15A2" w:rsidP="009123DD">
      <w:pPr>
        <w:rPr>
          <w:lang w:val="fr-FR"/>
        </w:rPr>
      </w:pPr>
      <w:r>
        <w:rPr>
          <w:rFonts w:ascii="Calibri" w:eastAsia="Calibri" w:hAnsi="Calibri" w:cs="Times New Roman"/>
          <w:lang w:val="fr-CA"/>
        </w:rPr>
        <w:t>La section 4.28 du Règlement stipule</w:t>
      </w:r>
      <w:r>
        <w:rPr>
          <w:rFonts w:ascii="Calibri" w:eastAsia="Calibri" w:hAnsi="Calibri" w:cs="Times New Roman"/>
          <w:lang w:val="fr-CA"/>
        </w:rPr>
        <w:t xml:space="preserve"> qu’« une évaluation des risques doit être effectuée dans tout lieu de travail où peut exister un risque de blessure pour les travailleurs du fait de la violence découlant de leur emploi ». Cela signifie que même si un incident violent n’a jamais eu lieu s</w:t>
      </w:r>
      <w:r>
        <w:rPr>
          <w:rFonts w:ascii="Calibri" w:eastAsia="Calibri" w:hAnsi="Calibri" w:cs="Times New Roman"/>
          <w:lang w:val="fr-CA"/>
        </w:rPr>
        <w:t xml:space="preserve">ur votre site, une évaluation des risques doit être effectuée pour votre lieu de travail s’il y a un risque de violence dans des lieux de travail similaires. </w:t>
      </w:r>
    </w:p>
    <w:p w:rsidR="009123DD" w:rsidRPr="004F15A2" w:rsidRDefault="004F15A2" w:rsidP="009123DD">
      <w:pPr>
        <w:rPr>
          <w:lang w:val="fr-FR"/>
        </w:rPr>
      </w:pPr>
      <w:r>
        <w:rPr>
          <w:rFonts w:ascii="Calibri" w:eastAsia="Calibri" w:hAnsi="Calibri" w:cs="Times New Roman"/>
          <w:lang w:val="fr-CA"/>
        </w:rPr>
        <w:lastRenderedPageBreak/>
        <w:t>La section fournit é</w:t>
      </w:r>
      <w:r>
        <w:rPr>
          <w:rFonts w:ascii="Calibri" w:eastAsia="Calibri" w:hAnsi="Calibri" w:cs="Times New Roman"/>
          <w:lang w:val="fr-CA"/>
        </w:rPr>
        <w:t>galement des exemples de ce qui doit être inclus dans l’examen du risque. À toutes les étapes de l’évaluation des risques, l’employeur doit consulter le comité mixte de santé et de sécurité, ainsi que les travailleurs et le personnel d’encadrement de chaqu</w:t>
      </w:r>
      <w:r>
        <w:rPr>
          <w:rFonts w:ascii="Calibri" w:eastAsia="Calibri" w:hAnsi="Calibri" w:cs="Times New Roman"/>
          <w:lang w:val="fr-CA"/>
        </w:rPr>
        <w:t xml:space="preserve">e zone concernée. </w:t>
      </w:r>
    </w:p>
    <w:p w:rsidR="009123DD" w:rsidRPr="004F15A2" w:rsidRDefault="004F15A2" w:rsidP="009123DD">
      <w:pPr>
        <w:rPr>
          <w:lang w:val="fr-FR"/>
        </w:rPr>
      </w:pPr>
      <w:r>
        <w:rPr>
          <w:rFonts w:ascii="Calibri" w:eastAsia="Calibri" w:hAnsi="Calibri" w:cs="Times New Roman"/>
          <w:lang w:val="fr-CA"/>
        </w:rPr>
        <w:t xml:space="preserve">L’évaluation des risques est un processus proactif conçu pour garantir la protection des travailleurs. L’employeur doit veiller à ce que l’évaluation soit </w:t>
      </w:r>
      <w:r>
        <w:rPr>
          <w:rFonts w:ascii="Calibri" w:eastAsia="Calibri" w:hAnsi="Calibri" w:cs="Times New Roman"/>
          <w:lang w:val="fr-CA"/>
        </w:rPr>
        <w:t>effectuée de manière précise et approfondie, en indiquant clairement qui pourrait être lésé et comment. N’oubliez pas d’inclure l’ensemble du lieu de travail, ainsi que tous les travailleurs et leurs tâches, lorsque vous évaluez le risque de violence. Cela</w:t>
      </w:r>
      <w:r>
        <w:rPr>
          <w:rFonts w:ascii="Calibri" w:eastAsia="Calibri" w:hAnsi="Calibri" w:cs="Times New Roman"/>
          <w:lang w:val="fr-CA"/>
        </w:rPr>
        <w:t xml:space="preserve"> permettra d’identifier des mesures raisonnables pour contrôler les risques. </w:t>
      </w:r>
    </w:p>
    <w:p w:rsidR="001A3BF0" w:rsidRPr="004F15A2" w:rsidRDefault="004F15A2" w:rsidP="009123DD">
      <w:pPr>
        <w:rPr>
          <w:lang w:val="fr-FR"/>
        </w:rPr>
      </w:pPr>
      <w:r>
        <w:rPr>
          <w:rFonts w:ascii="Calibri" w:eastAsia="Calibri" w:hAnsi="Calibri" w:cs="Times New Roman"/>
          <w:lang w:val="fr-CA"/>
        </w:rPr>
        <w:t>Une partie de l’évaluation des risques consiste</w:t>
      </w:r>
      <w:r>
        <w:rPr>
          <w:rFonts w:ascii="Calibri" w:eastAsia="Calibri" w:hAnsi="Calibri" w:cs="Times New Roman"/>
          <w:color w:val="C00000"/>
          <w:u w:val="single"/>
          <w:lang w:val="fr-CA"/>
        </w:rPr>
        <w:t xml:space="preserve"> </w:t>
      </w:r>
      <w:r>
        <w:rPr>
          <w:rFonts w:ascii="Calibri" w:eastAsia="Calibri" w:hAnsi="Calibri" w:cs="Times New Roman"/>
          <w:lang w:val="fr-CA"/>
        </w:rPr>
        <w:t>à identifier les tâches des travailleurs et le lieu où ces tâches sont effectuées. Cela permet de déterminer quels risques sont les plus graves et lesquels</w:t>
      </w:r>
      <w:r>
        <w:rPr>
          <w:rFonts w:ascii="Calibri" w:eastAsia="Calibri" w:hAnsi="Calibri" w:cs="Times New Roman"/>
          <w:lang w:val="fr-CA"/>
        </w:rPr>
        <w:t xml:space="preserve"> doivent être traités en priorité. L’évaluation des risques exige que les résultats soient enregistrés.  Ces résultats seront les principaux outils utilisés pour contrôler le risque en milieu de travail. Il s’agit notamment de noter les dangers, la façon d</w:t>
      </w:r>
      <w:r>
        <w:rPr>
          <w:rFonts w:ascii="Calibri" w:eastAsia="Calibri" w:hAnsi="Calibri" w:cs="Times New Roman"/>
          <w:lang w:val="fr-CA"/>
        </w:rPr>
        <w:t xml:space="preserve">ont les personnes peuvent être </w:t>
      </w:r>
      <w:proofErr w:type="gramStart"/>
      <w:r>
        <w:rPr>
          <w:rFonts w:ascii="Calibri" w:eastAsia="Calibri" w:hAnsi="Calibri" w:cs="Times New Roman"/>
          <w:lang w:val="fr-CA"/>
        </w:rPr>
        <w:t>blessées</w:t>
      </w:r>
      <w:proofErr w:type="gramEnd"/>
      <w:r>
        <w:rPr>
          <w:rFonts w:ascii="Calibri" w:eastAsia="Calibri" w:hAnsi="Calibri" w:cs="Times New Roman"/>
          <w:lang w:val="fr-CA"/>
        </w:rPr>
        <w:t xml:space="preserve"> par ces dangers, et ce qui est déjà en place pour contrôler le risque. </w:t>
      </w:r>
    </w:p>
    <w:p w:rsidR="009123DD" w:rsidRPr="004F15A2" w:rsidRDefault="004F15A2" w:rsidP="009123DD">
      <w:pPr>
        <w:rPr>
          <w:b/>
          <w:lang w:val="fr-FR"/>
        </w:rPr>
      </w:pPr>
      <w:r>
        <w:rPr>
          <w:rFonts w:ascii="Calibri" w:eastAsia="Calibri" w:hAnsi="Calibri" w:cs="Times New Roman"/>
          <w:b/>
          <w:bCs/>
          <w:lang w:val="fr-CA"/>
        </w:rPr>
        <w:t>Contrôle du risque</w:t>
      </w:r>
    </w:p>
    <w:p w:rsidR="009123DD" w:rsidRPr="004F15A2" w:rsidRDefault="004F15A2" w:rsidP="009123DD">
      <w:pPr>
        <w:rPr>
          <w:lang w:val="fr-FR"/>
        </w:rPr>
      </w:pPr>
      <w:r>
        <w:rPr>
          <w:rFonts w:ascii="Calibri" w:eastAsia="Calibri" w:hAnsi="Calibri" w:cs="Times New Roman"/>
          <w:lang w:val="fr-CA"/>
        </w:rPr>
        <w:t>La section 4.29 du Règlement exige que l’employeur établisse des procédures, des politiques et des dispositions relatives au milieu de travail pour éliminer le risque de violence pour les travailleurs et, si l’élimination du ri</w:t>
      </w:r>
      <w:r>
        <w:rPr>
          <w:rFonts w:ascii="Calibri" w:eastAsia="Calibri" w:hAnsi="Calibri" w:cs="Times New Roman"/>
          <w:lang w:val="fr-CA"/>
        </w:rPr>
        <w:t xml:space="preserve">sque n’est pas possible, qu’il établisse des procédures, des politiques et des dispositions relatives au milieu de travail pour minimiser ce risque. </w:t>
      </w:r>
    </w:p>
    <w:p w:rsidR="009123DD" w:rsidRPr="004F15A2" w:rsidRDefault="004F15A2" w:rsidP="009123DD">
      <w:pPr>
        <w:rPr>
          <w:lang w:val="fr-FR"/>
        </w:rPr>
      </w:pPr>
      <w:r>
        <w:rPr>
          <w:rFonts w:ascii="Calibri" w:eastAsia="Calibri" w:hAnsi="Calibri" w:cs="Times New Roman"/>
          <w:lang w:val="fr-CA"/>
        </w:rPr>
        <w:t>Si un risque ne peut être éli</w:t>
      </w:r>
      <w:r>
        <w:rPr>
          <w:rFonts w:ascii="Calibri" w:eastAsia="Calibri" w:hAnsi="Calibri" w:cs="Times New Roman"/>
          <w:lang w:val="fr-CA"/>
        </w:rPr>
        <w:t>miné, des mesures de contrôle visant à minimiser le risque doivent être mises en œuvre. Souvent, le risque sera traité par une combinaison de contrôles techniques, de procédures administratives et d’équipement de protection individuelle qui informent et so</w:t>
      </w:r>
      <w:r>
        <w:rPr>
          <w:rFonts w:ascii="Calibri" w:eastAsia="Calibri" w:hAnsi="Calibri" w:cs="Times New Roman"/>
          <w:lang w:val="fr-CA"/>
        </w:rPr>
        <w:t xml:space="preserve">utiennent la manière dont les gens travaillent. Les résultats de l’évaluation des risques serviront de base à ces mesures de contrôle. Les procédures et les modalités de travail qu’un district scolaire peut être amené à mettre en œuvre varient en fonction </w:t>
      </w:r>
      <w:r>
        <w:rPr>
          <w:rFonts w:ascii="Calibri" w:eastAsia="Calibri" w:hAnsi="Calibri" w:cs="Times New Roman"/>
          <w:lang w:val="fr-CA"/>
        </w:rPr>
        <w:t>de la nature du travail effectué et des circonstances de ce travail. Par exemple, un assistant d’éducation travaillant avec des élèves présentera des risques différents de ceux d’un gardien qui travaille seul la nuit.</w:t>
      </w:r>
    </w:p>
    <w:p w:rsidR="009123DD" w:rsidRPr="004F15A2" w:rsidRDefault="004F15A2" w:rsidP="009123DD">
      <w:pPr>
        <w:rPr>
          <w:b/>
          <w:bCs/>
          <w:lang w:val="fr-FR"/>
        </w:rPr>
      </w:pPr>
      <w:r>
        <w:rPr>
          <w:rFonts w:ascii="Calibri" w:eastAsia="Calibri" w:hAnsi="Calibri" w:cs="Times New Roman"/>
          <w:b/>
          <w:bCs/>
          <w:lang w:val="fr-CA"/>
        </w:rPr>
        <w:t>Instruction des travailleurs</w:t>
      </w:r>
    </w:p>
    <w:p w:rsidR="00321E9D" w:rsidRPr="004F15A2" w:rsidRDefault="004F15A2" w:rsidP="009123DD">
      <w:pPr>
        <w:rPr>
          <w:lang w:val="fr-FR"/>
        </w:rPr>
      </w:pPr>
      <w:r>
        <w:rPr>
          <w:rFonts w:ascii="Calibri" w:eastAsia="Calibri" w:hAnsi="Calibri" w:cs="Times New Roman"/>
          <w:lang w:val="fr-CA"/>
        </w:rPr>
        <w:t>La section 4.30 du Règlement exige que l’employeur informe les travailleurs qui peuvent être exposés à un risqu</w:t>
      </w:r>
      <w:r>
        <w:rPr>
          <w:rFonts w:ascii="Calibri" w:eastAsia="Calibri" w:hAnsi="Calibri" w:cs="Times New Roman"/>
          <w:lang w:val="fr-CA"/>
        </w:rPr>
        <w:t>e de violence de la nature et de l’étendue de ce risque. Cela inclut l’obligation de fournir des informations relatives au risque de violence de la part de personnes ayant des antécédents de comportement violent et que les travailleurs sont susceptibles de</w:t>
      </w:r>
      <w:r>
        <w:rPr>
          <w:rFonts w:ascii="Calibri" w:eastAsia="Calibri" w:hAnsi="Calibri" w:cs="Times New Roman"/>
          <w:lang w:val="fr-CA"/>
        </w:rPr>
        <w:t xml:space="preserve"> rencontrer dans le cadre de leur travail.</w:t>
      </w:r>
    </w:p>
    <w:p w:rsidR="00E01965" w:rsidRPr="004F15A2" w:rsidRDefault="004F15A2" w:rsidP="009123DD">
      <w:pPr>
        <w:rPr>
          <w:lang w:val="fr-FR"/>
        </w:rPr>
      </w:pPr>
      <w:r>
        <w:rPr>
          <w:rFonts w:ascii="Calibri" w:eastAsia="Calibri" w:hAnsi="Calibri" w:cs="Times New Roman"/>
          <w:lang w:val="fr-CA"/>
        </w:rPr>
        <w:t>Les travailleurs susceptibles d’être exposés au risque de violence doivent recevoir des instructions sur la manière de reconnaître le ri</w:t>
      </w:r>
      <w:r>
        <w:rPr>
          <w:rFonts w:ascii="Calibri" w:eastAsia="Calibri" w:hAnsi="Calibri" w:cs="Times New Roman"/>
          <w:lang w:val="fr-CA"/>
        </w:rPr>
        <w:t>sque de violence en milieu de travail, les contrôles en place pour éliminer ou minimiser ce risque et la manière de réagir de manière appropriée aux incidents.</w:t>
      </w:r>
    </w:p>
    <w:p w:rsidR="00914314" w:rsidRPr="004F15A2" w:rsidRDefault="004F15A2" w:rsidP="00E01965">
      <w:pPr>
        <w:rPr>
          <w:color w:val="FF0000"/>
          <w:lang w:val="fr-FR"/>
        </w:rPr>
      </w:pPr>
      <w:r>
        <w:rPr>
          <w:rFonts w:ascii="Calibri" w:eastAsia="Calibri" w:hAnsi="Calibri" w:cs="Times New Roman"/>
          <w:lang w:val="fr-CA"/>
        </w:rPr>
        <w:t>Les employeurs visé</w:t>
      </w:r>
      <w:r>
        <w:rPr>
          <w:rFonts w:ascii="Calibri" w:eastAsia="Calibri" w:hAnsi="Calibri" w:cs="Times New Roman"/>
          <w:lang w:val="fr-CA"/>
        </w:rPr>
        <w:t>s par les sections 4.27 à 4.31 doivent avoir un programme de prévention de la violence en milieu de travail dans le cadre de leur programme général de santé et de sécurité au travail</w:t>
      </w:r>
      <w:r>
        <w:rPr>
          <w:rFonts w:ascii="Calibri" w:eastAsia="Calibri" w:hAnsi="Calibri" w:cs="Times New Roman"/>
          <w:color w:val="FF0000"/>
          <w:lang w:val="fr-CA"/>
        </w:rPr>
        <w:t>.</w:t>
      </w:r>
    </w:p>
    <w:p w:rsidR="004C4342" w:rsidRPr="004F15A2" w:rsidRDefault="004F15A2" w:rsidP="009123DD">
      <w:pPr>
        <w:rPr>
          <w:lang w:val="fr-FR"/>
        </w:rPr>
      </w:pPr>
      <w:r>
        <w:rPr>
          <w:rFonts w:ascii="Calibri" w:eastAsia="Calibri" w:hAnsi="Calibri" w:cs="Times New Roman"/>
          <w:lang w:val="fr-CA"/>
        </w:rPr>
        <w:lastRenderedPageBreak/>
        <w:t>Lorsque l’employeur s’est soumis à un processus de consultation avec le comité mixte de santé et de sécurité et les travailleurs dans le cadre d’une évaluation des risques et</w:t>
      </w:r>
      <w:r>
        <w:rPr>
          <w:rFonts w:ascii="Calibri" w:eastAsia="Calibri" w:hAnsi="Calibri" w:cs="Times New Roman"/>
          <w:lang w:val="fr-CA"/>
        </w:rPr>
        <w:t xml:space="preserve"> de l’élaboration de ses politiques et procédures de prévention de la violence en milieu de travail, et qu’il a donné des instructions aux travailleurs, la Commission présumera généralement que le Règlement a été respecté. Toutefois, la Commission se réser</w:t>
      </w:r>
      <w:r>
        <w:rPr>
          <w:rFonts w:ascii="Calibri" w:eastAsia="Calibri" w:hAnsi="Calibri" w:cs="Times New Roman"/>
          <w:lang w:val="fr-CA"/>
        </w:rPr>
        <w:t>ve toujours le droit de déterminer si les mesures prises par un employeur sont réellement suffisantes pour répondre aux exigences du Règlement.</w:t>
      </w:r>
    </w:p>
    <w:p w:rsidR="009123DD" w:rsidRPr="004F15A2" w:rsidRDefault="009123DD" w:rsidP="009123DD">
      <w:pPr>
        <w:rPr>
          <w:lang w:val="fr-FR"/>
        </w:rPr>
      </w:pPr>
    </w:p>
    <w:p w:rsidR="009123DD" w:rsidRPr="00820E2C" w:rsidRDefault="004F15A2" w:rsidP="009123DD">
      <w:pPr>
        <w:rPr>
          <w:b/>
          <w:lang w:val="en"/>
        </w:rPr>
      </w:pPr>
      <w:r>
        <w:rPr>
          <w:rFonts w:ascii="Calibri" w:eastAsia="Calibri" w:hAnsi="Calibri" w:cs="Times New Roman"/>
          <w:b/>
          <w:bCs/>
          <w:lang w:val="fr-CA"/>
        </w:rPr>
        <w:t>Ressources connexes</w:t>
      </w:r>
    </w:p>
    <w:p w:rsidR="00C21481" w:rsidRPr="004F15A2" w:rsidRDefault="004F15A2" w:rsidP="00C21481">
      <w:pPr>
        <w:pStyle w:val="ListParagraph"/>
        <w:numPr>
          <w:ilvl w:val="0"/>
          <w:numId w:val="4"/>
        </w:numPr>
        <w:ind w:left="360"/>
        <w:rPr>
          <w:lang w:val="fr-FR"/>
        </w:rPr>
      </w:pPr>
      <w:hyperlink r:id="rId8" w:history="1">
        <w:r>
          <w:rPr>
            <w:rFonts w:ascii="Calibri" w:eastAsia="Calibri" w:hAnsi="Calibri" w:cs="Times New Roman"/>
            <w:color w:val="0563C1"/>
            <w:u w:val="single"/>
            <w:lang w:val="fr-CA"/>
          </w:rPr>
          <w:t>Sections 4.27 à 4.31</w:t>
        </w:r>
      </w:hyperlink>
      <w:r>
        <w:rPr>
          <w:rFonts w:ascii="Calibri" w:eastAsia="Calibri" w:hAnsi="Calibri" w:cs="Times New Roman"/>
          <w:lang w:val="fr-CA"/>
        </w:rPr>
        <w:t xml:space="preserve"> du Règlement sur la santé et la sécurité au travail et politiques connexes.</w:t>
      </w:r>
    </w:p>
    <w:p w:rsidR="00647A9E" w:rsidRPr="004F15A2" w:rsidRDefault="004F15A2" w:rsidP="00C21481">
      <w:pPr>
        <w:pStyle w:val="ListParagraph"/>
        <w:numPr>
          <w:ilvl w:val="0"/>
          <w:numId w:val="4"/>
        </w:numPr>
        <w:ind w:left="360"/>
        <w:rPr>
          <w:lang w:val="fr-FR"/>
        </w:rPr>
      </w:pPr>
      <w:hyperlink r:id="rId9" w:history="1">
        <w:r>
          <w:rPr>
            <w:rFonts w:ascii="Calibri" w:eastAsia="Calibri" w:hAnsi="Calibri" w:cs="Times New Roman"/>
            <w:color w:val="0563C1"/>
            <w:u w:val="single"/>
            <w:lang w:val="fr-CA"/>
          </w:rPr>
          <w:t>Fonctions générales</w:t>
        </w:r>
      </w:hyperlink>
      <w:r>
        <w:rPr>
          <w:rFonts w:ascii="Calibri" w:eastAsia="Calibri" w:hAnsi="Calibri" w:cs="Times New Roman"/>
          <w:lang w:val="fr-CA"/>
        </w:rPr>
        <w:t xml:space="preserve"> en vertu des sections 21 à 23 de la Loi sur les accidents du travail.</w:t>
      </w:r>
    </w:p>
    <w:p w:rsidR="00C21481" w:rsidRPr="004F15A2" w:rsidRDefault="004F15A2" w:rsidP="00C21481">
      <w:pPr>
        <w:pStyle w:val="ListParagraph"/>
        <w:numPr>
          <w:ilvl w:val="0"/>
          <w:numId w:val="4"/>
        </w:numPr>
        <w:ind w:left="360"/>
        <w:rPr>
          <w:lang w:val="fr-FR"/>
        </w:rPr>
      </w:pPr>
      <w:hyperlink r:id="rId10" w:history="1">
        <w:r>
          <w:rPr>
            <w:rFonts w:ascii="Calibri" w:eastAsia="Calibri" w:hAnsi="Calibri" w:cs="Times New Roman"/>
            <w:color w:val="0563C1"/>
            <w:u w:val="single"/>
            <w:lang w:val="fr-CA"/>
          </w:rPr>
          <w:t>Gestion des risques</w:t>
        </w:r>
      </w:hyperlink>
      <w:r>
        <w:rPr>
          <w:rFonts w:ascii="Calibri" w:eastAsia="Calibri" w:hAnsi="Calibri" w:cs="Times New Roman"/>
          <w:lang w:val="fr-CA"/>
        </w:rPr>
        <w:t xml:space="preserve"> à WorkSafeBC.com.</w:t>
      </w:r>
    </w:p>
    <w:p w:rsidR="00C21481" w:rsidRPr="004F15A2" w:rsidRDefault="004F15A2" w:rsidP="00C21481">
      <w:pPr>
        <w:pStyle w:val="ListParagraph"/>
        <w:numPr>
          <w:ilvl w:val="0"/>
          <w:numId w:val="4"/>
        </w:numPr>
        <w:ind w:left="360"/>
        <w:rPr>
          <w:lang w:val="fr-FR"/>
        </w:rPr>
      </w:pPr>
      <w:hyperlink r:id="rId11" w:history="1">
        <w:r>
          <w:rPr>
            <w:rFonts w:ascii="Calibri" w:eastAsia="Calibri" w:hAnsi="Calibri" w:cs="Times New Roman"/>
            <w:color w:val="0563C1"/>
            <w:u w:val="single"/>
            <w:lang w:val="fr-CA"/>
          </w:rPr>
          <w:t>Page sur la violence</w:t>
        </w:r>
      </w:hyperlink>
      <w:r>
        <w:rPr>
          <w:rFonts w:ascii="Calibri" w:eastAsia="Calibri" w:hAnsi="Calibri" w:cs="Times New Roman"/>
          <w:lang w:val="fr-CA"/>
        </w:rPr>
        <w:t xml:space="preserve"> de </w:t>
      </w:r>
      <w:proofErr w:type="spellStart"/>
      <w:r>
        <w:rPr>
          <w:rFonts w:ascii="Calibri" w:eastAsia="Calibri" w:hAnsi="Calibri" w:cs="Times New Roman"/>
          <w:lang w:val="fr-CA"/>
        </w:rPr>
        <w:t>WorkSafeBC</w:t>
      </w:r>
      <w:proofErr w:type="spellEnd"/>
      <w:r>
        <w:rPr>
          <w:rFonts w:ascii="Calibri" w:eastAsia="Calibri" w:hAnsi="Calibri" w:cs="Times New Roman"/>
          <w:lang w:val="fr-CA"/>
        </w:rPr>
        <w:t>.</w:t>
      </w:r>
    </w:p>
    <w:p w:rsidR="00D80C69" w:rsidRPr="004F15A2" w:rsidRDefault="004F15A2" w:rsidP="00EE2DBE">
      <w:pPr>
        <w:pStyle w:val="ListParagraph"/>
        <w:numPr>
          <w:ilvl w:val="0"/>
          <w:numId w:val="4"/>
        </w:numPr>
        <w:ind w:left="360"/>
        <w:rPr>
          <w:lang w:val="fr-FR"/>
        </w:rPr>
      </w:pPr>
      <w:hyperlink r:id="rId12" w:history="1">
        <w:r>
          <w:rPr>
            <w:rFonts w:ascii="Calibri" w:eastAsia="Calibri" w:hAnsi="Calibri" w:cs="Times New Roman"/>
            <w:color w:val="0563C1"/>
            <w:u w:val="single"/>
            <w:lang w:val="fr-CA"/>
          </w:rPr>
          <w:t>Gestion de la sécurité dans l’éducation : A Guide for Leaders</w:t>
        </w:r>
      </w:hyperlink>
      <w:r>
        <w:rPr>
          <w:rFonts w:ascii="Calibri" w:eastAsia="Calibri" w:hAnsi="Calibri" w:cs="Times New Roman"/>
          <w:lang w:val="fr-CA"/>
        </w:rPr>
        <w:t>, un livre électronique en ligne sur WorkSafeBC.com.</w:t>
      </w:r>
    </w:p>
    <w:sectPr w:rsidR="00D80C69" w:rsidRPr="004F15A2" w:rsidSect="009123DD">
      <w:footerReference w:type="default" r:id="rId13"/>
      <w:headerReference w:type="first" r:id="rId14"/>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F15A2">
      <w:pPr>
        <w:spacing w:after="0" w:line="240" w:lineRule="auto"/>
      </w:pPr>
      <w:r>
        <w:separator/>
      </w:r>
    </w:p>
  </w:endnote>
  <w:endnote w:type="continuationSeparator" w:id="0">
    <w:p w:rsidR="00000000" w:rsidRDefault="004F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A54" w:rsidRPr="004F15A2" w:rsidRDefault="004F15A2" w:rsidP="00775FA4">
    <w:pPr>
      <w:pStyle w:val="Footer"/>
      <w:jc w:val="center"/>
      <w:rPr>
        <w:b/>
        <w:lang w:val="fr-FR"/>
      </w:rPr>
    </w:pPr>
    <w:r>
      <w:rPr>
        <w:rFonts w:ascii="Calibri" w:eastAsia="Calibri" w:hAnsi="Calibri" w:cs="Times New Roman"/>
        <w:b/>
        <w:bCs/>
        <w:lang w:val="fr-CA"/>
      </w:rPr>
      <w:t xml:space="preserve">Pour toute question spécifique concernant la réglementation et la prévention de la violence en milieu de travail, contactez la ligne d’information sur la prévention de </w:t>
    </w:r>
    <w:r>
      <w:rPr>
        <w:rFonts w:ascii="Calibri" w:eastAsia="Calibri" w:hAnsi="Calibri" w:cs="Times New Roman"/>
        <w:b/>
        <w:bCs/>
        <w:lang w:val="fr-CA"/>
      </w:rPr>
      <w:t>WorkSafeBC au 604 276-3100 ou au numéro sans frais 1 888 621-7233 (621.SAFE).</w:t>
    </w:r>
  </w:p>
  <w:p w:rsidR="00E87A54" w:rsidRPr="004F15A2" w:rsidRDefault="00E87A54">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F15A2">
      <w:pPr>
        <w:spacing w:after="0" w:line="240" w:lineRule="auto"/>
      </w:pPr>
      <w:r>
        <w:separator/>
      </w:r>
    </w:p>
  </w:footnote>
  <w:footnote w:type="continuationSeparator" w:id="0">
    <w:p w:rsidR="00000000" w:rsidRDefault="004F1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28B" w:rsidRPr="004F15A2" w:rsidRDefault="004F15A2" w:rsidP="0093751B">
    <w:pPr>
      <w:jc w:val="center"/>
      <w:rPr>
        <w:b/>
        <w:sz w:val="28"/>
        <w:szCs w:val="28"/>
        <w:lang w:val="fr-FR"/>
      </w:rPr>
    </w:pPr>
    <w:r>
      <w:rPr>
        <w:rFonts w:ascii="Calibri" w:eastAsia="Calibri" w:hAnsi="Calibri" w:cs="Times New Roman"/>
        <w:b/>
        <w:bCs/>
        <w:sz w:val="28"/>
        <w:szCs w:val="28"/>
        <w:lang w:val="fr-CA"/>
      </w:rPr>
      <w:t>À quoi ressemble la conformité au Règlement sur la santé et la sécurité au travail concernant la pré</w:t>
    </w:r>
    <w:r>
      <w:rPr>
        <w:rFonts w:ascii="Calibri" w:eastAsia="Calibri" w:hAnsi="Calibri" w:cs="Times New Roman"/>
        <w:b/>
        <w:bCs/>
        <w:sz w:val="28"/>
        <w:szCs w:val="28"/>
        <w:lang w:val="fr-CA"/>
      </w:rPr>
      <w:t>vention de la violence au travail dans les écoles de la Colombie-Britannique?</w:t>
    </w:r>
    <w:r>
      <w:rPr>
        <w:rFonts w:ascii="Calibri" w:eastAsia="Calibri" w:hAnsi="Calibri" w:cs="Times New Roman"/>
        <w:sz w:val="28"/>
        <w:szCs w:val="28"/>
        <w:lang w:val="fr-CA"/>
      </w:rPr>
      <w:t xml:space="preserve"> </w:t>
    </w:r>
  </w:p>
  <w:p w:rsidR="009123DD" w:rsidRPr="004F15A2" w:rsidRDefault="009123DD">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54AE"/>
    <w:multiLevelType w:val="hybridMultilevel"/>
    <w:tmpl w:val="B1BE4F4C"/>
    <w:lvl w:ilvl="0" w:tplc="55945F8C">
      <w:start w:val="1"/>
      <w:numFmt w:val="bullet"/>
      <w:lvlText w:val=""/>
      <w:lvlJc w:val="left"/>
      <w:pPr>
        <w:ind w:left="720" w:hanging="360"/>
      </w:pPr>
      <w:rPr>
        <w:rFonts w:ascii="Symbol" w:hAnsi="Symbol" w:hint="default"/>
      </w:rPr>
    </w:lvl>
    <w:lvl w:ilvl="1" w:tplc="F32EB1B8" w:tentative="1">
      <w:start w:val="1"/>
      <w:numFmt w:val="bullet"/>
      <w:lvlText w:val="o"/>
      <w:lvlJc w:val="left"/>
      <w:pPr>
        <w:ind w:left="1440" w:hanging="360"/>
      </w:pPr>
      <w:rPr>
        <w:rFonts w:ascii="Courier New" w:hAnsi="Courier New" w:cs="Courier New" w:hint="default"/>
      </w:rPr>
    </w:lvl>
    <w:lvl w:ilvl="2" w:tplc="7A8822AA" w:tentative="1">
      <w:start w:val="1"/>
      <w:numFmt w:val="bullet"/>
      <w:lvlText w:val=""/>
      <w:lvlJc w:val="left"/>
      <w:pPr>
        <w:ind w:left="2160" w:hanging="360"/>
      </w:pPr>
      <w:rPr>
        <w:rFonts w:ascii="Wingdings" w:hAnsi="Wingdings" w:hint="default"/>
      </w:rPr>
    </w:lvl>
    <w:lvl w:ilvl="3" w:tplc="1466F2A2" w:tentative="1">
      <w:start w:val="1"/>
      <w:numFmt w:val="bullet"/>
      <w:lvlText w:val=""/>
      <w:lvlJc w:val="left"/>
      <w:pPr>
        <w:ind w:left="2880" w:hanging="360"/>
      </w:pPr>
      <w:rPr>
        <w:rFonts w:ascii="Symbol" w:hAnsi="Symbol" w:hint="default"/>
      </w:rPr>
    </w:lvl>
    <w:lvl w:ilvl="4" w:tplc="FAC889FC" w:tentative="1">
      <w:start w:val="1"/>
      <w:numFmt w:val="bullet"/>
      <w:lvlText w:val="o"/>
      <w:lvlJc w:val="left"/>
      <w:pPr>
        <w:ind w:left="3600" w:hanging="360"/>
      </w:pPr>
      <w:rPr>
        <w:rFonts w:ascii="Courier New" w:hAnsi="Courier New" w:cs="Courier New" w:hint="default"/>
      </w:rPr>
    </w:lvl>
    <w:lvl w:ilvl="5" w:tplc="F7A0491A" w:tentative="1">
      <w:start w:val="1"/>
      <w:numFmt w:val="bullet"/>
      <w:lvlText w:val=""/>
      <w:lvlJc w:val="left"/>
      <w:pPr>
        <w:ind w:left="4320" w:hanging="360"/>
      </w:pPr>
      <w:rPr>
        <w:rFonts w:ascii="Wingdings" w:hAnsi="Wingdings" w:hint="default"/>
      </w:rPr>
    </w:lvl>
    <w:lvl w:ilvl="6" w:tplc="B8E01CA0" w:tentative="1">
      <w:start w:val="1"/>
      <w:numFmt w:val="bullet"/>
      <w:lvlText w:val=""/>
      <w:lvlJc w:val="left"/>
      <w:pPr>
        <w:ind w:left="5040" w:hanging="360"/>
      </w:pPr>
      <w:rPr>
        <w:rFonts w:ascii="Symbol" w:hAnsi="Symbol" w:hint="default"/>
      </w:rPr>
    </w:lvl>
    <w:lvl w:ilvl="7" w:tplc="ACA22F6E" w:tentative="1">
      <w:start w:val="1"/>
      <w:numFmt w:val="bullet"/>
      <w:lvlText w:val="o"/>
      <w:lvlJc w:val="left"/>
      <w:pPr>
        <w:ind w:left="5760" w:hanging="360"/>
      </w:pPr>
      <w:rPr>
        <w:rFonts w:ascii="Courier New" w:hAnsi="Courier New" w:cs="Courier New" w:hint="default"/>
      </w:rPr>
    </w:lvl>
    <w:lvl w:ilvl="8" w:tplc="D3E8043C" w:tentative="1">
      <w:start w:val="1"/>
      <w:numFmt w:val="bullet"/>
      <w:lvlText w:val=""/>
      <w:lvlJc w:val="left"/>
      <w:pPr>
        <w:ind w:left="6480" w:hanging="360"/>
      </w:pPr>
      <w:rPr>
        <w:rFonts w:ascii="Wingdings" w:hAnsi="Wingdings" w:hint="default"/>
      </w:rPr>
    </w:lvl>
  </w:abstractNum>
  <w:abstractNum w:abstractNumId="1" w15:restartNumberingAfterBreak="0">
    <w:nsid w:val="0CB77DC3"/>
    <w:multiLevelType w:val="hybridMultilevel"/>
    <w:tmpl w:val="EEF4BF30"/>
    <w:lvl w:ilvl="0" w:tplc="FFB43426">
      <w:start w:val="1"/>
      <w:numFmt w:val="decimal"/>
      <w:lvlText w:val="%1."/>
      <w:lvlJc w:val="left"/>
      <w:pPr>
        <w:ind w:left="1080" w:hanging="360"/>
      </w:pPr>
      <w:rPr>
        <w:rFonts w:hint="default"/>
      </w:rPr>
    </w:lvl>
    <w:lvl w:ilvl="1" w:tplc="1CD8EEAA">
      <w:start w:val="1"/>
      <w:numFmt w:val="lowerLetter"/>
      <w:lvlText w:val="%2."/>
      <w:lvlJc w:val="left"/>
      <w:pPr>
        <w:ind w:left="1800" w:hanging="360"/>
      </w:pPr>
    </w:lvl>
    <w:lvl w:ilvl="2" w:tplc="9A08CE3C" w:tentative="1">
      <w:start w:val="1"/>
      <w:numFmt w:val="lowerRoman"/>
      <w:lvlText w:val="%3."/>
      <w:lvlJc w:val="right"/>
      <w:pPr>
        <w:ind w:left="2520" w:hanging="180"/>
      </w:pPr>
    </w:lvl>
    <w:lvl w:ilvl="3" w:tplc="7AB85DAE" w:tentative="1">
      <w:start w:val="1"/>
      <w:numFmt w:val="decimal"/>
      <w:lvlText w:val="%4."/>
      <w:lvlJc w:val="left"/>
      <w:pPr>
        <w:ind w:left="3240" w:hanging="360"/>
      </w:pPr>
    </w:lvl>
    <w:lvl w:ilvl="4" w:tplc="69A2C434" w:tentative="1">
      <w:start w:val="1"/>
      <w:numFmt w:val="lowerLetter"/>
      <w:lvlText w:val="%5."/>
      <w:lvlJc w:val="left"/>
      <w:pPr>
        <w:ind w:left="3960" w:hanging="360"/>
      </w:pPr>
    </w:lvl>
    <w:lvl w:ilvl="5" w:tplc="963E3162" w:tentative="1">
      <w:start w:val="1"/>
      <w:numFmt w:val="lowerRoman"/>
      <w:lvlText w:val="%6."/>
      <w:lvlJc w:val="right"/>
      <w:pPr>
        <w:ind w:left="4680" w:hanging="180"/>
      </w:pPr>
    </w:lvl>
    <w:lvl w:ilvl="6" w:tplc="F83A4C72" w:tentative="1">
      <w:start w:val="1"/>
      <w:numFmt w:val="decimal"/>
      <w:lvlText w:val="%7."/>
      <w:lvlJc w:val="left"/>
      <w:pPr>
        <w:ind w:left="5400" w:hanging="360"/>
      </w:pPr>
    </w:lvl>
    <w:lvl w:ilvl="7" w:tplc="16DE8A42" w:tentative="1">
      <w:start w:val="1"/>
      <w:numFmt w:val="lowerLetter"/>
      <w:lvlText w:val="%8."/>
      <w:lvlJc w:val="left"/>
      <w:pPr>
        <w:ind w:left="6120" w:hanging="360"/>
      </w:pPr>
    </w:lvl>
    <w:lvl w:ilvl="8" w:tplc="85D47BEE" w:tentative="1">
      <w:start w:val="1"/>
      <w:numFmt w:val="lowerRoman"/>
      <w:lvlText w:val="%9."/>
      <w:lvlJc w:val="right"/>
      <w:pPr>
        <w:ind w:left="6840" w:hanging="180"/>
      </w:pPr>
    </w:lvl>
  </w:abstractNum>
  <w:abstractNum w:abstractNumId="2" w15:restartNumberingAfterBreak="0">
    <w:nsid w:val="142B68D0"/>
    <w:multiLevelType w:val="hybridMultilevel"/>
    <w:tmpl w:val="8A0ED21E"/>
    <w:lvl w:ilvl="0" w:tplc="1CD6B9B4">
      <w:start w:val="1"/>
      <w:numFmt w:val="bullet"/>
      <w:lvlText w:val=""/>
      <w:lvlJc w:val="left"/>
      <w:pPr>
        <w:ind w:left="720" w:hanging="360"/>
      </w:pPr>
      <w:rPr>
        <w:rFonts w:ascii="Symbol" w:hAnsi="Symbol" w:hint="default"/>
      </w:rPr>
    </w:lvl>
    <w:lvl w:ilvl="1" w:tplc="BAF87406" w:tentative="1">
      <w:start w:val="1"/>
      <w:numFmt w:val="bullet"/>
      <w:lvlText w:val="o"/>
      <w:lvlJc w:val="left"/>
      <w:pPr>
        <w:ind w:left="1440" w:hanging="360"/>
      </w:pPr>
      <w:rPr>
        <w:rFonts w:ascii="Courier New" w:hAnsi="Courier New" w:cs="Courier New" w:hint="default"/>
      </w:rPr>
    </w:lvl>
    <w:lvl w:ilvl="2" w:tplc="7228C6F4" w:tentative="1">
      <w:start w:val="1"/>
      <w:numFmt w:val="bullet"/>
      <w:lvlText w:val=""/>
      <w:lvlJc w:val="left"/>
      <w:pPr>
        <w:ind w:left="2160" w:hanging="360"/>
      </w:pPr>
      <w:rPr>
        <w:rFonts w:ascii="Wingdings" w:hAnsi="Wingdings" w:hint="default"/>
      </w:rPr>
    </w:lvl>
    <w:lvl w:ilvl="3" w:tplc="37485682" w:tentative="1">
      <w:start w:val="1"/>
      <w:numFmt w:val="bullet"/>
      <w:lvlText w:val=""/>
      <w:lvlJc w:val="left"/>
      <w:pPr>
        <w:ind w:left="2880" w:hanging="360"/>
      </w:pPr>
      <w:rPr>
        <w:rFonts w:ascii="Symbol" w:hAnsi="Symbol" w:hint="default"/>
      </w:rPr>
    </w:lvl>
    <w:lvl w:ilvl="4" w:tplc="0E5AE89A" w:tentative="1">
      <w:start w:val="1"/>
      <w:numFmt w:val="bullet"/>
      <w:lvlText w:val="o"/>
      <w:lvlJc w:val="left"/>
      <w:pPr>
        <w:ind w:left="3600" w:hanging="360"/>
      </w:pPr>
      <w:rPr>
        <w:rFonts w:ascii="Courier New" w:hAnsi="Courier New" w:cs="Courier New" w:hint="default"/>
      </w:rPr>
    </w:lvl>
    <w:lvl w:ilvl="5" w:tplc="EFA09196" w:tentative="1">
      <w:start w:val="1"/>
      <w:numFmt w:val="bullet"/>
      <w:lvlText w:val=""/>
      <w:lvlJc w:val="left"/>
      <w:pPr>
        <w:ind w:left="4320" w:hanging="360"/>
      </w:pPr>
      <w:rPr>
        <w:rFonts w:ascii="Wingdings" w:hAnsi="Wingdings" w:hint="default"/>
      </w:rPr>
    </w:lvl>
    <w:lvl w:ilvl="6" w:tplc="CBF648E4" w:tentative="1">
      <w:start w:val="1"/>
      <w:numFmt w:val="bullet"/>
      <w:lvlText w:val=""/>
      <w:lvlJc w:val="left"/>
      <w:pPr>
        <w:ind w:left="5040" w:hanging="360"/>
      </w:pPr>
      <w:rPr>
        <w:rFonts w:ascii="Symbol" w:hAnsi="Symbol" w:hint="default"/>
      </w:rPr>
    </w:lvl>
    <w:lvl w:ilvl="7" w:tplc="C74C409A" w:tentative="1">
      <w:start w:val="1"/>
      <w:numFmt w:val="bullet"/>
      <w:lvlText w:val="o"/>
      <w:lvlJc w:val="left"/>
      <w:pPr>
        <w:ind w:left="5760" w:hanging="360"/>
      </w:pPr>
      <w:rPr>
        <w:rFonts w:ascii="Courier New" w:hAnsi="Courier New" w:cs="Courier New" w:hint="default"/>
      </w:rPr>
    </w:lvl>
    <w:lvl w:ilvl="8" w:tplc="BDD423EE" w:tentative="1">
      <w:start w:val="1"/>
      <w:numFmt w:val="bullet"/>
      <w:lvlText w:val=""/>
      <w:lvlJc w:val="left"/>
      <w:pPr>
        <w:ind w:left="6480" w:hanging="360"/>
      </w:pPr>
      <w:rPr>
        <w:rFonts w:ascii="Wingdings" w:hAnsi="Wingdings" w:hint="default"/>
      </w:rPr>
    </w:lvl>
  </w:abstractNum>
  <w:abstractNum w:abstractNumId="3" w15:restartNumberingAfterBreak="0">
    <w:nsid w:val="1D981A5F"/>
    <w:multiLevelType w:val="hybridMultilevel"/>
    <w:tmpl w:val="CB96DC3A"/>
    <w:lvl w:ilvl="0" w:tplc="30AC8CA6">
      <w:start w:val="1"/>
      <w:numFmt w:val="bullet"/>
      <w:lvlText w:val=""/>
      <w:lvlJc w:val="left"/>
      <w:pPr>
        <w:ind w:left="720" w:hanging="360"/>
      </w:pPr>
      <w:rPr>
        <w:rFonts w:ascii="Symbol" w:hAnsi="Symbol" w:hint="default"/>
      </w:rPr>
    </w:lvl>
    <w:lvl w:ilvl="1" w:tplc="21C8607C" w:tentative="1">
      <w:start w:val="1"/>
      <w:numFmt w:val="bullet"/>
      <w:lvlText w:val="o"/>
      <w:lvlJc w:val="left"/>
      <w:pPr>
        <w:ind w:left="1440" w:hanging="360"/>
      </w:pPr>
      <w:rPr>
        <w:rFonts w:ascii="Courier New" w:hAnsi="Courier New" w:cs="Courier New" w:hint="default"/>
      </w:rPr>
    </w:lvl>
    <w:lvl w:ilvl="2" w:tplc="E4005440" w:tentative="1">
      <w:start w:val="1"/>
      <w:numFmt w:val="bullet"/>
      <w:lvlText w:val=""/>
      <w:lvlJc w:val="left"/>
      <w:pPr>
        <w:ind w:left="2160" w:hanging="360"/>
      </w:pPr>
      <w:rPr>
        <w:rFonts w:ascii="Wingdings" w:hAnsi="Wingdings" w:hint="default"/>
      </w:rPr>
    </w:lvl>
    <w:lvl w:ilvl="3" w:tplc="6E448FEC" w:tentative="1">
      <w:start w:val="1"/>
      <w:numFmt w:val="bullet"/>
      <w:lvlText w:val=""/>
      <w:lvlJc w:val="left"/>
      <w:pPr>
        <w:ind w:left="2880" w:hanging="360"/>
      </w:pPr>
      <w:rPr>
        <w:rFonts w:ascii="Symbol" w:hAnsi="Symbol" w:hint="default"/>
      </w:rPr>
    </w:lvl>
    <w:lvl w:ilvl="4" w:tplc="FE104AE4" w:tentative="1">
      <w:start w:val="1"/>
      <w:numFmt w:val="bullet"/>
      <w:lvlText w:val="o"/>
      <w:lvlJc w:val="left"/>
      <w:pPr>
        <w:ind w:left="3600" w:hanging="360"/>
      </w:pPr>
      <w:rPr>
        <w:rFonts w:ascii="Courier New" w:hAnsi="Courier New" w:cs="Courier New" w:hint="default"/>
      </w:rPr>
    </w:lvl>
    <w:lvl w:ilvl="5" w:tplc="6FF2088E" w:tentative="1">
      <w:start w:val="1"/>
      <w:numFmt w:val="bullet"/>
      <w:lvlText w:val=""/>
      <w:lvlJc w:val="left"/>
      <w:pPr>
        <w:ind w:left="4320" w:hanging="360"/>
      </w:pPr>
      <w:rPr>
        <w:rFonts w:ascii="Wingdings" w:hAnsi="Wingdings" w:hint="default"/>
      </w:rPr>
    </w:lvl>
    <w:lvl w:ilvl="6" w:tplc="92D44B16" w:tentative="1">
      <w:start w:val="1"/>
      <w:numFmt w:val="bullet"/>
      <w:lvlText w:val=""/>
      <w:lvlJc w:val="left"/>
      <w:pPr>
        <w:ind w:left="5040" w:hanging="360"/>
      </w:pPr>
      <w:rPr>
        <w:rFonts w:ascii="Symbol" w:hAnsi="Symbol" w:hint="default"/>
      </w:rPr>
    </w:lvl>
    <w:lvl w:ilvl="7" w:tplc="E6840940" w:tentative="1">
      <w:start w:val="1"/>
      <w:numFmt w:val="bullet"/>
      <w:lvlText w:val="o"/>
      <w:lvlJc w:val="left"/>
      <w:pPr>
        <w:ind w:left="5760" w:hanging="360"/>
      </w:pPr>
      <w:rPr>
        <w:rFonts w:ascii="Courier New" w:hAnsi="Courier New" w:cs="Courier New" w:hint="default"/>
      </w:rPr>
    </w:lvl>
    <w:lvl w:ilvl="8" w:tplc="27C05B2E" w:tentative="1">
      <w:start w:val="1"/>
      <w:numFmt w:val="bullet"/>
      <w:lvlText w:val=""/>
      <w:lvlJc w:val="left"/>
      <w:pPr>
        <w:ind w:left="6480" w:hanging="360"/>
      </w:pPr>
      <w:rPr>
        <w:rFonts w:ascii="Wingdings" w:hAnsi="Wingdings" w:hint="default"/>
      </w:rPr>
    </w:lvl>
  </w:abstractNum>
  <w:abstractNum w:abstractNumId="4" w15:restartNumberingAfterBreak="0">
    <w:nsid w:val="4B49728E"/>
    <w:multiLevelType w:val="hybridMultilevel"/>
    <w:tmpl w:val="FA88FA40"/>
    <w:lvl w:ilvl="0" w:tplc="63E0E0D8">
      <w:start w:val="1"/>
      <w:numFmt w:val="bullet"/>
      <w:lvlText w:val=""/>
      <w:lvlJc w:val="left"/>
      <w:pPr>
        <w:ind w:left="720" w:hanging="360"/>
      </w:pPr>
      <w:rPr>
        <w:rFonts w:ascii="Symbol" w:hAnsi="Symbol" w:hint="default"/>
      </w:rPr>
    </w:lvl>
    <w:lvl w:ilvl="1" w:tplc="6CDCAD6A" w:tentative="1">
      <w:start w:val="1"/>
      <w:numFmt w:val="bullet"/>
      <w:lvlText w:val="o"/>
      <w:lvlJc w:val="left"/>
      <w:pPr>
        <w:ind w:left="1440" w:hanging="360"/>
      </w:pPr>
      <w:rPr>
        <w:rFonts w:ascii="Courier New" w:hAnsi="Courier New" w:cs="Courier New" w:hint="default"/>
      </w:rPr>
    </w:lvl>
    <w:lvl w:ilvl="2" w:tplc="271A57B8" w:tentative="1">
      <w:start w:val="1"/>
      <w:numFmt w:val="bullet"/>
      <w:lvlText w:val=""/>
      <w:lvlJc w:val="left"/>
      <w:pPr>
        <w:ind w:left="2160" w:hanging="360"/>
      </w:pPr>
      <w:rPr>
        <w:rFonts w:ascii="Wingdings" w:hAnsi="Wingdings" w:hint="default"/>
      </w:rPr>
    </w:lvl>
    <w:lvl w:ilvl="3" w:tplc="C0E45D18" w:tentative="1">
      <w:start w:val="1"/>
      <w:numFmt w:val="bullet"/>
      <w:lvlText w:val=""/>
      <w:lvlJc w:val="left"/>
      <w:pPr>
        <w:ind w:left="2880" w:hanging="360"/>
      </w:pPr>
      <w:rPr>
        <w:rFonts w:ascii="Symbol" w:hAnsi="Symbol" w:hint="default"/>
      </w:rPr>
    </w:lvl>
    <w:lvl w:ilvl="4" w:tplc="CEE82F06" w:tentative="1">
      <w:start w:val="1"/>
      <w:numFmt w:val="bullet"/>
      <w:lvlText w:val="o"/>
      <w:lvlJc w:val="left"/>
      <w:pPr>
        <w:ind w:left="3600" w:hanging="360"/>
      </w:pPr>
      <w:rPr>
        <w:rFonts w:ascii="Courier New" w:hAnsi="Courier New" w:cs="Courier New" w:hint="default"/>
      </w:rPr>
    </w:lvl>
    <w:lvl w:ilvl="5" w:tplc="71B48268" w:tentative="1">
      <w:start w:val="1"/>
      <w:numFmt w:val="bullet"/>
      <w:lvlText w:val=""/>
      <w:lvlJc w:val="left"/>
      <w:pPr>
        <w:ind w:left="4320" w:hanging="360"/>
      </w:pPr>
      <w:rPr>
        <w:rFonts w:ascii="Wingdings" w:hAnsi="Wingdings" w:hint="default"/>
      </w:rPr>
    </w:lvl>
    <w:lvl w:ilvl="6" w:tplc="3FA4DD1E" w:tentative="1">
      <w:start w:val="1"/>
      <w:numFmt w:val="bullet"/>
      <w:lvlText w:val=""/>
      <w:lvlJc w:val="left"/>
      <w:pPr>
        <w:ind w:left="5040" w:hanging="360"/>
      </w:pPr>
      <w:rPr>
        <w:rFonts w:ascii="Symbol" w:hAnsi="Symbol" w:hint="default"/>
      </w:rPr>
    </w:lvl>
    <w:lvl w:ilvl="7" w:tplc="53869984" w:tentative="1">
      <w:start w:val="1"/>
      <w:numFmt w:val="bullet"/>
      <w:lvlText w:val="o"/>
      <w:lvlJc w:val="left"/>
      <w:pPr>
        <w:ind w:left="5760" w:hanging="360"/>
      </w:pPr>
      <w:rPr>
        <w:rFonts w:ascii="Courier New" w:hAnsi="Courier New" w:cs="Courier New" w:hint="default"/>
      </w:rPr>
    </w:lvl>
    <w:lvl w:ilvl="8" w:tplc="D6169B98" w:tentative="1">
      <w:start w:val="1"/>
      <w:numFmt w:val="bullet"/>
      <w:lvlText w:val=""/>
      <w:lvlJc w:val="left"/>
      <w:pPr>
        <w:ind w:left="6480" w:hanging="360"/>
      </w:pPr>
      <w:rPr>
        <w:rFonts w:ascii="Wingdings" w:hAnsi="Wingdings" w:hint="default"/>
      </w:rPr>
    </w:lvl>
  </w:abstractNum>
  <w:abstractNum w:abstractNumId="5" w15:restartNumberingAfterBreak="0">
    <w:nsid w:val="55E27704"/>
    <w:multiLevelType w:val="hybridMultilevel"/>
    <w:tmpl w:val="44EEB65C"/>
    <w:lvl w:ilvl="0" w:tplc="1C961184">
      <w:start w:val="1"/>
      <w:numFmt w:val="decimal"/>
      <w:lvlText w:val="%1."/>
      <w:lvlJc w:val="left"/>
      <w:pPr>
        <w:ind w:left="720" w:hanging="360"/>
      </w:pPr>
      <w:rPr>
        <w:rFonts w:hint="default"/>
      </w:rPr>
    </w:lvl>
    <w:lvl w:ilvl="1" w:tplc="600C0B00" w:tentative="1">
      <w:start w:val="1"/>
      <w:numFmt w:val="bullet"/>
      <w:lvlText w:val="o"/>
      <w:lvlJc w:val="left"/>
      <w:pPr>
        <w:ind w:left="1440" w:hanging="360"/>
      </w:pPr>
      <w:rPr>
        <w:rFonts w:ascii="Courier New" w:hAnsi="Courier New" w:cs="Courier New" w:hint="default"/>
      </w:rPr>
    </w:lvl>
    <w:lvl w:ilvl="2" w:tplc="7A1E369C" w:tentative="1">
      <w:start w:val="1"/>
      <w:numFmt w:val="bullet"/>
      <w:lvlText w:val=""/>
      <w:lvlJc w:val="left"/>
      <w:pPr>
        <w:ind w:left="2160" w:hanging="360"/>
      </w:pPr>
      <w:rPr>
        <w:rFonts w:ascii="Wingdings" w:hAnsi="Wingdings" w:hint="default"/>
      </w:rPr>
    </w:lvl>
    <w:lvl w:ilvl="3" w:tplc="59268FB0" w:tentative="1">
      <w:start w:val="1"/>
      <w:numFmt w:val="bullet"/>
      <w:lvlText w:val=""/>
      <w:lvlJc w:val="left"/>
      <w:pPr>
        <w:ind w:left="2880" w:hanging="360"/>
      </w:pPr>
      <w:rPr>
        <w:rFonts w:ascii="Symbol" w:hAnsi="Symbol" w:hint="default"/>
      </w:rPr>
    </w:lvl>
    <w:lvl w:ilvl="4" w:tplc="BA3E67BE" w:tentative="1">
      <w:start w:val="1"/>
      <w:numFmt w:val="bullet"/>
      <w:lvlText w:val="o"/>
      <w:lvlJc w:val="left"/>
      <w:pPr>
        <w:ind w:left="3600" w:hanging="360"/>
      </w:pPr>
      <w:rPr>
        <w:rFonts w:ascii="Courier New" w:hAnsi="Courier New" w:cs="Courier New" w:hint="default"/>
      </w:rPr>
    </w:lvl>
    <w:lvl w:ilvl="5" w:tplc="7A5ED628" w:tentative="1">
      <w:start w:val="1"/>
      <w:numFmt w:val="bullet"/>
      <w:lvlText w:val=""/>
      <w:lvlJc w:val="left"/>
      <w:pPr>
        <w:ind w:left="4320" w:hanging="360"/>
      </w:pPr>
      <w:rPr>
        <w:rFonts w:ascii="Wingdings" w:hAnsi="Wingdings" w:hint="default"/>
      </w:rPr>
    </w:lvl>
    <w:lvl w:ilvl="6" w:tplc="6166EDE8" w:tentative="1">
      <w:start w:val="1"/>
      <w:numFmt w:val="bullet"/>
      <w:lvlText w:val=""/>
      <w:lvlJc w:val="left"/>
      <w:pPr>
        <w:ind w:left="5040" w:hanging="360"/>
      </w:pPr>
      <w:rPr>
        <w:rFonts w:ascii="Symbol" w:hAnsi="Symbol" w:hint="default"/>
      </w:rPr>
    </w:lvl>
    <w:lvl w:ilvl="7" w:tplc="9656E642" w:tentative="1">
      <w:start w:val="1"/>
      <w:numFmt w:val="bullet"/>
      <w:lvlText w:val="o"/>
      <w:lvlJc w:val="left"/>
      <w:pPr>
        <w:ind w:left="5760" w:hanging="360"/>
      </w:pPr>
      <w:rPr>
        <w:rFonts w:ascii="Courier New" w:hAnsi="Courier New" w:cs="Courier New" w:hint="default"/>
      </w:rPr>
    </w:lvl>
    <w:lvl w:ilvl="8" w:tplc="34703D0E" w:tentative="1">
      <w:start w:val="1"/>
      <w:numFmt w:val="bullet"/>
      <w:lvlText w:val=""/>
      <w:lvlJc w:val="left"/>
      <w:pPr>
        <w:ind w:left="6480" w:hanging="360"/>
      </w:pPr>
      <w:rPr>
        <w:rFonts w:ascii="Wingdings" w:hAnsi="Wingdings" w:hint="default"/>
      </w:rPr>
    </w:lvl>
  </w:abstractNum>
  <w:abstractNum w:abstractNumId="6" w15:restartNumberingAfterBreak="0">
    <w:nsid w:val="56BA7331"/>
    <w:multiLevelType w:val="hybridMultilevel"/>
    <w:tmpl w:val="0CA44038"/>
    <w:lvl w:ilvl="0" w:tplc="CD5E1148">
      <w:start w:val="1"/>
      <w:numFmt w:val="decimal"/>
      <w:lvlText w:val="%1."/>
      <w:lvlJc w:val="left"/>
      <w:pPr>
        <w:ind w:left="720" w:hanging="360"/>
      </w:pPr>
      <w:rPr>
        <w:rFonts w:hint="default"/>
      </w:rPr>
    </w:lvl>
    <w:lvl w:ilvl="1" w:tplc="75D6F662" w:tentative="1">
      <w:start w:val="1"/>
      <w:numFmt w:val="lowerLetter"/>
      <w:lvlText w:val="%2."/>
      <w:lvlJc w:val="left"/>
      <w:pPr>
        <w:ind w:left="1440" w:hanging="360"/>
      </w:pPr>
    </w:lvl>
    <w:lvl w:ilvl="2" w:tplc="C7688F94" w:tentative="1">
      <w:start w:val="1"/>
      <w:numFmt w:val="lowerRoman"/>
      <w:lvlText w:val="%3."/>
      <w:lvlJc w:val="right"/>
      <w:pPr>
        <w:ind w:left="2160" w:hanging="180"/>
      </w:pPr>
    </w:lvl>
    <w:lvl w:ilvl="3" w:tplc="C59CABB8" w:tentative="1">
      <w:start w:val="1"/>
      <w:numFmt w:val="decimal"/>
      <w:lvlText w:val="%4."/>
      <w:lvlJc w:val="left"/>
      <w:pPr>
        <w:ind w:left="2880" w:hanging="360"/>
      </w:pPr>
    </w:lvl>
    <w:lvl w:ilvl="4" w:tplc="2440EE7E" w:tentative="1">
      <w:start w:val="1"/>
      <w:numFmt w:val="lowerLetter"/>
      <w:lvlText w:val="%5."/>
      <w:lvlJc w:val="left"/>
      <w:pPr>
        <w:ind w:left="3600" w:hanging="360"/>
      </w:pPr>
    </w:lvl>
    <w:lvl w:ilvl="5" w:tplc="EC90EEA2" w:tentative="1">
      <w:start w:val="1"/>
      <w:numFmt w:val="lowerRoman"/>
      <w:lvlText w:val="%6."/>
      <w:lvlJc w:val="right"/>
      <w:pPr>
        <w:ind w:left="4320" w:hanging="180"/>
      </w:pPr>
    </w:lvl>
    <w:lvl w:ilvl="6" w:tplc="7F64AFAC" w:tentative="1">
      <w:start w:val="1"/>
      <w:numFmt w:val="decimal"/>
      <w:lvlText w:val="%7."/>
      <w:lvlJc w:val="left"/>
      <w:pPr>
        <w:ind w:left="5040" w:hanging="360"/>
      </w:pPr>
    </w:lvl>
    <w:lvl w:ilvl="7" w:tplc="E34C7134" w:tentative="1">
      <w:start w:val="1"/>
      <w:numFmt w:val="lowerLetter"/>
      <w:lvlText w:val="%8."/>
      <w:lvlJc w:val="left"/>
      <w:pPr>
        <w:ind w:left="5760" w:hanging="360"/>
      </w:pPr>
    </w:lvl>
    <w:lvl w:ilvl="8" w:tplc="3672446A" w:tentative="1">
      <w:start w:val="1"/>
      <w:numFmt w:val="lowerRoman"/>
      <w:lvlText w:val="%9."/>
      <w:lvlJc w:val="right"/>
      <w:pPr>
        <w:ind w:left="6480" w:hanging="180"/>
      </w:pPr>
    </w:lvl>
  </w:abstractNum>
  <w:abstractNum w:abstractNumId="7" w15:restartNumberingAfterBreak="0">
    <w:nsid w:val="5B2C69E8"/>
    <w:multiLevelType w:val="hybridMultilevel"/>
    <w:tmpl w:val="69D45546"/>
    <w:lvl w:ilvl="0" w:tplc="211CA866">
      <w:start w:val="1"/>
      <w:numFmt w:val="bullet"/>
      <w:lvlText w:val=""/>
      <w:lvlJc w:val="left"/>
      <w:pPr>
        <w:ind w:left="360" w:hanging="360"/>
      </w:pPr>
      <w:rPr>
        <w:rFonts w:ascii="Symbol" w:hAnsi="Symbol" w:hint="default"/>
      </w:rPr>
    </w:lvl>
    <w:lvl w:ilvl="1" w:tplc="F95A8156" w:tentative="1">
      <w:start w:val="1"/>
      <w:numFmt w:val="bullet"/>
      <w:lvlText w:val="o"/>
      <w:lvlJc w:val="left"/>
      <w:pPr>
        <w:ind w:left="1080" w:hanging="360"/>
      </w:pPr>
      <w:rPr>
        <w:rFonts w:ascii="Courier New" w:hAnsi="Courier New" w:cs="Courier New" w:hint="default"/>
      </w:rPr>
    </w:lvl>
    <w:lvl w:ilvl="2" w:tplc="2DF8D468" w:tentative="1">
      <w:start w:val="1"/>
      <w:numFmt w:val="bullet"/>
      <w:lvlText w:val=""/>
      <w:lvlJc w:val="left"/>
      <w:pPr>
        <w:ind w:left="1800" w:hanging="360"/>
      </w:pPr>
      <w:rPr>
        <w:rFonts w:ascii="Wingdings" w:hAnsi="Wingdings" w:hint="default"/>
      </w:rPr>
    </w:lvl>
    <w:lvl w:ilvl="3" w:tplc="3C5CFDD6" w:tentative="1">
      <w:start w:val="1"/>
      <w:numFmt w:val="bullet"/>
      <w:lvlText w:val=""/>
      <w:lvlJc w:val="left"/>
      <w:pPr>
        <w:ind w:left="2520" w:hanging="360"/>
      </w:pPr>
      <w:rPr>
        <w:rFonts w:ascii="Symbol" w:hAnsi="Symbol" w:hint="default"/>
      </w:rPr>
    </w:lvl>
    <w:lvl w:ilvl="4" w:tplc="93800D7A" w:tentative="1">
      <w:start w:val="1"/>
      <w:numFmt w:val="bullet"/>
      <w:lvlText w:val="o"/>
      <w:lvlJc w:val="left"/>
      <w:pPr>
        <w:ind w:left="3240" w:hanging="360"/>
      </w:pPr>
      <w:rPr>
        <w:rFonts w:ascii="Courier New" w:hAnsi="Courier New" w:cs="Courier New" w:hint="default"/>
      </w:rPr>
    </w:lvl>
    <w:lvl w:ilvl="5" w:tplc="4B8CC1DA" w:tentative="1">
      <w:start w:val="1"/>
      <w:numFmt w:val="bullet"/>
      <w:lvlText w:val=""/>
      <w:lvlJc w:val="left"/>
      <w:pPr>
        <w:ind w:left="3960" w:hanging="360"/>
      </w:pPr>
      <w:rPr>
        <w:rFonts w:ascii="Wingdings" w:hAnsi="Wingdings" w:hint="default"/>
      </w:rPr>
    </w:lvl>
    <w:lvl w:ilvl="6" w:tplc="83247E3E" w:tentative="1">
      <w:start w:val="1"/>
      <w:numFmt w:val="bullet"/>
      <w:lvlText w:val=""/>
      <w:lvlJc w:val="left"/>
      <w:pPr>
        <w:ind w:left="4680" w:hanging="360"/>
      </w:pPr>
      <w:rPr>
        <w:rFonts w:ascii="Symbol" w:hAnsi="Symbol" w:hint="default"/>
      </w:rPr>
    </w:lvl>
    <w:lvl w:ilvl="7" w:tplc="8FB0BD1C" w:tentative="1">
      <w:start w:val="1"/>
      <w:numFmt w:val="bullet"/>
      <w:lvlText w:val="o"/>
      <w:lvlJc w:val="left"/>
      <w:pPr>
        <w:ind w:left="5400" w:hanging="360"/>
      </w:pPr>
      <w:rPr>
        <w:rFonts w:ascii="Courier New" w:hAnsi="Courier New" w:cs="Courier New" w:hint="default"/>
      </w:rPr>
    </w:lvl>
    <w:lvl w:ilvl="8" w:tplc="88D00FDA" w:tentative="1">
      <w:start w:val="1"/>
      <w:numFmt w:val="bullet"/>
      <w:lvlText w:val=""/>
      <w:lvlJc w:val="left"/>
      <w:pPr>
        <w:ind w:left="6120" w:hanging="360"/>
      </w:pPr>
      <w:rPr>
        <w:rFonts w:ascii="Wingdings" w:hAnsi="Wingdings" w:hint="default"/>
      </w:rPr>
    </w:lvl>
  </w:abstractNum>
  <w:abstractNum w:abstractNumId="8" w15:restartNumberingAfterBreak="0">
    <w:nsid w:val="5FD40A51"/>
    <w:multiLevelType w:val="hybridMultilevel"/>
    <w:tmpl w:val="CFE89E92"/>
    <w:lvl w:ilvl="0" w:tplc="62108E6A">
      <w:start w:val="1"/>
      <w:numFmt w:val="bullet"/>
      <w:lvlText w:val=""/>
      <w:lvlJc w:val="left"/>
      <w:pPr>
        <w:ind w:left="720" w:hanging="360"/>
      </w:pPr>
      <w:rPr>
        <w:rFonts w:ascii="Symbol" w:hAnsi="Symbol" w:hint="default"/>
      </w:rPr>
    </w:lvl>
    <w:lvl w:ilvl="1" w:tplc="0D828940" w:tentative="1">
      <w:start w:val="1"/>
      <w:numFmt w:val="bullet"/>
      <w:lvlText w:val="o"/>
      <w:lvlJc w:val="left"/>
      <w:pPr>
        <w:ind w:left="1440" w:hanging="360"/>
      </w:pPr>
      <w:rPr>
        <w:rFonts w:ascii="Courier New" w:hAnsi="Courier New" w:cs="Courier New" w:hint="default"/>
      </w:rPr>
    </w:lvl>
    <w:lvl w:ilvl="2" w:tplc="D5A24646" w:tentative="1">
      <w:start w:val="1"/>
      <w:numFmt w:val="bullet"/>
      <w:lvlText w:val=""/>
      <w:lvlJc w:val="left"/>
      <w:pPr>
        <w:ind w:left="2160" w:hanging="360"/>
      </w:pPr>
      <w:rPr>
        <w:rFonts w:ascii="Wingdings" w:hAnsi="Wingdings" w:hint="default"/>
      </w:rPr>
    </w:lvl>
    <w:lvl w:ilvl="3" w:tplc="3DE0046E" w:tentative="1">
      <w:start w:val="1"/>
      <w:numFmt w:val="bullet"/>
      <w:lvlText w:val=""/>
      <w:lvlJc w:val="left"/>
      <w:pPr>
        <w:ind w:left="2880" w:hanging="360"/>
      </w:pPr>
      <w:rPr>
        <w:rFonts w:ascii="Symbol" w:hAnsi="Symbol" w:hint="default"/>
      </w:rPr>
    </w:lvl>
    <w:lvl w:ilvl="4" w:tplc="3978156E" w:tentative="1">
      <w:start w:val="1"/>
      <w:numFmt w:val="bullet"/>
      <w:lvlText w:val="o"/>
      <w:lvlJc w:val="left"/>
      <w:pPr>
        <w:ind w:left="3600" w:hanging="360"/>
      </w:pPr>
      <w:rPr>
        <w:rFonts w:ascii="Courier New" w:hAnsi="Courier New" w:cs="Courier New" w:hint="default"/>
      </w:rPr>
    </w:lvl>
    <w:lvl w:ilvl="5" w:tplc="9B1AE1B0" w:tentative="1">
      <w:start w:val="1"/>
      <w:numFmt w:val="bullet"/>
      <w:lvlText w:val=""/>
      <w:lvlJc w:val="left"/>
      <w:pPr>
        <w:ind w:left="4320" w:hanging="360"/>
      </w:pPr>
      <w:rPr>
        <w:rFonts w:ascii="Wingdings" w:hAnsi="Wingdings" w:hint="default"/>
      </w:rPr>
    </w:lvl>
    <w:lvl w:ilvl="6" w:tplc="D1FC5FBE" w:tentative="1">
      <w:start w:val="1"/>
      <w:numFmt w:val="bullet"/>
      <w:lvlText w:val=""/>
      <w:lvlJc w:val="left"/>
      <w:pPr>
        <w:ind w:left="5040" w:hanging="360"/>
      </w:pPr>
      <w:rPr>
        <w:rFonts w:ascii="Symbol" w:hAnsi="Symbol" w:hint="default"/>
      </w:rPr>
    </w:lvl>
    <w:lvl w:ilvl="7" w:tplc="83E438D6" w:tentative="1">
      <w:start w:val="1"/>
      <w:numFmt w:val="bullet"/>
      <w:lvlText w:val="o"/>
      <w:lvlJc w:val="left"/>
      <w:pPr>
        <w:ind w:left="5760" w:hanging="360"/>
      </w:pPr>
      <w:rPr>
        <w:rFonts w:ascii="Courier New" w:hAnsi="Courier New" w:cs="Courier New" w:hint="default"/>
      </w:rPr>
    </w:lvl>
    <w:lvl w:ilvl="8" w:tplc="C706AD44"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0"/>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DD"/>
    <w:rsid w:val="00007CCD"/>
    <w:rsid w:val="00011BF7"/>
    <w:rsid w:val="0003238F"/>
    <w:rsid w:val="00063CEA"/>
    <w:rsid w:val="000F4F26"/>
    <w:rsid w:val="00140CAF"/>
    <w:rsid w:val="00162C1D"/>
    <w:rsid w:val="001A3BF0"/>
    <w:rsid w:val="001C6E76"/>
    <w:rsid w:val="001C7051"/>
    <w:rsid w:val="001D6BAE"/>
    <w:rsid w:val="001F4E72"/>
    <w:rsid w:val="0020425A"/>
    <w:rsid w:val="00216FE5"/>
    <w:rsid w:val="00244853"/>
    <w:rsid w:val="0025054E"/>
    <w:rsid w:val="00263FE2"/>
    <w:rsid w:val="00272817"/>
    <w:rsid w:val="002D30D2"/>
    <w:rsid w:val="002E4273"/>
    <w:rsid w:val="00321E9D"/>
    <w:rsid w:val="00322CD5"/>
    <w:rsid w:val="00345234"/>
    <w:rsid w:val="00353B80"/>
    <w:rsid w:val="003B05C2"/>
    <w:rsid w:val="003D5A2F"/>
    <w:rsid w:val="003F414A"/>
    <w:rsid w:val="004A3F29"/>
    <w:rsid w:val="004C4342"/>
    <w:rsid w:val="004C6CE1"/>
    <w:rsid w:val="004D7508"/>
    <w:rsid w:val="004E09EB"/>
    <w:rsid w:val="004F15A2"/>
    <w:rsid w:val="004F4399"/>
    <w:rsid w:val="00500983"/>
    <w:rsid w:val="005355B6"/>
    <w:rsid w:val="00537940"/>
    <w:rsid w:val="0054579F"/>
    <w:rsid w:val="005E1145"/>
    <w:rsid w:val="005F23CA"/>
    <w:rsid w:val="00610C68"/>
    <w:rsid w:val="0062079A"/>
    <w:rsid w:val="0063181C"/>
    <w:rsid w:val="00633EF9"/>
    <w:rsid w:val="00647A9E"/>
    <w:rsid w:val="0066115B"/>
    <w:rsid w:val="00670D9F"/>
    <w:rsid w:val="006868F3"/>
    <w:rsid w:val="0069487A"/>
    <w:rsid w:val="006C505E"/>
    <w:rsid w:val="006E7DC5"/>
    <w:rsid w:val="00731734"/>
    <w:rsid w:val="0075728B"/>
    <w:rsid w:val="00775FA4"/>
    <w:rsid w:val="007A3E9C"/>
    <w:rsid w:val="007A6B44"/>
    <w:rsid w:val="007C3D0E"/>
    <w:rsid w:val="007E54D5"/>
    <w:rsid w:val="00820E2C"/>
    <w:rsid w:val="00845788"/>
    <w:rsid w:val="008540FE"/>
    <w:rsid w:val="0086083E"/>
    <w:rsid w:val="00891C99"/>
    <w:rsid w:val="008A7DD0"/>
    <w:rsid w:val="008C792D"/>
    <w:rsid w:val="009026BA"/>
    <w:rsid w:val="009123DD"/>
    <w:rsid w:val="00913ADD"/>
    <w:rsid w:val="00914314"/>
    <w:rsid w:val="0093751B"/>
    <w:rsid w:val="00990DB5"/>
    <w:rsid w:val="00995634"/>
    <w:rsid w:val="009B6CF4"/>
    <w:rsid w:val="009B78E6"/>
    <w:rsid w:val="009F1B1C"/>
    <w:rsid w:val="00A03CAB"/>
    <w:rsid w:val="00A21C8A"/>
    <w:rsid w:val="00A3586B"/>
    <w:rsid w:val="00A35D26"/>
    <w:rsid w:val="00A67A40"/>
    <w:rsid w:val="00A86A22"/>
    <w:rsid w:val="00AC1D76"/>
    <w:rsid w:val="00AC58CE"/>
    <w:rsid w:val="00AF25C3"/>
    <w:rsid w:val="00AF5400"/>
    <w:rsid w:val="00B07574"/>
    <w:rsid w:val="00B11244"/>
    <w:rsid w:val="00B127DE"/>
    <w:rsid w:val="00B431EB"/>
    <w:rsid w:val="00B54B21"/>
    <w:rsid w:val="00B56D28"/>
    <w:rsid w:val="00B66305"/>
    <w:rsid w:val="00B76778"/>
    <w:rsid w:val="00B87E5C"/>
    <w:rsid w:val="00BA2BA0"/>
    <w:rsid w:val="00BA34FD"/>
    <w:rsid w:val="00BA5B75"/>
    <w:rsid w:val="00BB0574"/>
    <w:rsid w:val="00BC08C8"/>
    <w:rsid w:val="00C21481"/>
    <w:rsid w:val="00C2421F"/>
    <w:rsid w:val="00C5016B"/>
    <w:rsid w:val="00CD19A0"/>
    <w:rsid w:val="00CF046E"/>
    <w:rsid w:val="00CF72D8"/>
    <w:rsid w:val="00D36C70"/>
    <w:rsid w:val="00D42BE9"/>
    <w:rsid w:val="00D55EDF"/>
    <w:rsid w:val="00D601A1"/>
    <w:rsid w:val="00D615C4"/>
    <w:rsid w:val="00D80C69"/>
    <w:rsid w:val="00DC652C"/>
    <w:rsid w:val="00DE133B"/>
    <w:rsid w:val="00DE1A12"/>
    <w:rsid w:val="00DE3DEE"/>
    <w:rsid w:val="00E00332"/>
    <w:rsid w:val="00E01965"/>
    <w:rsid w:val="00E14EF7"/>
    <w:rsid w:val="00E30EBE"/>
    <w:rsid w:val="00E368E0"/>
    <w:rsid w:val="00E53217"/>
    <w:rsid w:val="00E56B92"/>
    <w:rsid w:val="00E703EF"/>
    <w:rsid w:val="00E77664"/>
    <w:rsid w:val="00E87A54"/>
    <w:rsid w:val="00EB2680"/>
    <w:rsid w:val="00EC5090"/>
    <w:rsid w:val="00EE2DBE"/>
    <w:rsid w:val="00F26356"/>
    <w:rsid w:val="00F57D59"/>
    <w:rsid w:val="00FA3B7A"/>
    <w:rsid w:val="00FD670A"/>
    <w:rsid w:val="2A5EAFF0"/>
    <w:rsid w:val="4EA9FA7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FA792-7007-4B9E-9F7A-BB4A9758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3DD"/>
  </w:style>
  <w:style w:type="paragraph" w:styleId="Footer">
    <w:name w:val="footer"/>
    <w:basedOn w:val="Normal"/>
    <w:link w:val="FooterChar"/>
    <w:uiPriority w:val="99"/>
    <w:unhideWhenUsed/>
    <w:qFormat/>
    <w:rsid w:val="00912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DD"/>
  </w:style>
  <w:style w:type="table" w:styleId="TableGrid">
    <w:name w:val="Table Grid"/>
    <w:basedOn w:val="TableNormal"/>
    <w:uiPriority w:val="39"/>
    <w:rsid w:val="0091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3DD"/>
    <w:pPr>
      <w:ind w:left="720"/>
      <w:contextualSpacing/>
    </w:pPr>
  </w:style>
  <w:style w:type="character" w:styleId="Hyperlink">
    <w:name w:val="Hyperlink"/>
    <w:basedOn w:val="DefaultParagraphFont"/>
    <w:uiPriority w:val="99"/>
    <w:unhideWhenUsed/>
    <w:rsid w:val="00E30EBE"/>
    <w:rPr>
      <w:color w:val="0563C1" w:themeColor="hyperlink"/>
      <w:u w:val="single"/>
    </w:rPr>
  </w:style>
  <w:style w:type="character" w:styleId="CommentReference">
    <w:name w:val="annotation reference"/>
    <w:basedOn w:val="DefaultParagraphFont"/>
    <w:uiPriority w:val="99"/>
    <w:semiHidden/>
    <w:unhideWhenUsed/>
    <w:rsid w:val="00670D9F"/>
    <w:rPr>
      <w:sz w:val="16"/>
      <w:szCs w:val="16"/>
    </w:rPr>
  </w:style>
  <w:style w:type="paragraph" w:styleId="CommentText">
    <w:name w:val="annotation text"/>
    <w:basedOn w:val="Normal"/>
    <w:link w:val="CommentTextChar"/>
    <w:uiPriority w:val="99"/>
    <w:semiHidden/>
    <w:unhideWhenUsed/>
    <w:rsid w:val="00670D9F"/>
    <w:pPr>
      <w:spacing w:line="240" w:lineRule="auto"/>
    </w:pPr>
    <w:rPr>
      <w:sz w:val="20"/>
      <w:szCs w:val="20"/>
    </w:rPr>
  </w:style>
  <w:style w:type="character" w:customStyle="1" w:styleId="CommentTextChar">
    <w:name w:val="Comment Text Char"/>
    <w:basedOn w:val="DefaultParagraphFont"/>
    <w:link w:val="CommentText"/>
    <w:uiPriority w:val="99"/>
    <w:semiHidden/>
    <w:rsid w:val="00670D9F"/>
    <w:rPr>
      <w:sz w:val="20"/>
      <w:szCs w:val="20"/>
    </w:rPr>
  </w:style>
  <w:style w:type="paragraph" w:styleId="CommentSubject">
    <w:name w:val="annotation subject"/>
    <w:basedOn w:val="CommentText"/>
    <w:next w:val="CommentText"/>
    <w:link w:val="CommentSubjectChar"/>
    <w:uiPriority w:val="99"/>
    <w:semiHidden/>
    <w:unhideWhenUsed/>
    <w:rsid w:val="00670D9F"/>
    <w:rPr>
      <w:b/>
      <w:bCs/>
    </w:rPr>
  </w:style>
  <w:style w:type="character" w:customStyle="1" w:styleId="CommentSubjectChar">
    <w:name w:val="Comment Subject Char"/>
    <w:basedOn w:val="CommentTextChar"/>
    <w:link w:val="CommentSubject"/>
    <w:uiPriority w:val="99"/>
    <w:semiHidden/>
    <w:rsid w:val="00670D9F"/>
    <w:rPr>
      <w:b/>
      <w:bCs/>
      <w:sz w:val="20"/>
      <w:szCs w:val="20"/>
    </w:rPr>
  </w:style>
  <w:style w:type="paragraph" w:styleId="BalloonText">
    <w:name w:val="Balloon Text"/>
    <w:basedOn w:val="Normal"/>
    <w:link w:val="BalloonTextChar"/>
    <w:uiPriority w:val="99"/>
    <w:semiHidden/>
    <w:unhideWhenUsed/>
    <w:rsid w:val="00670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D9F"/>
    <w:rPr>
      <w:rFonts w:ascii="Segoe UI" w:hAnsi="Segoe UI" w:cs="Segoe UI"/>
      <w:sz w:val="18"/>
      <w:szCs w:val="18"/>
    </w:rPr>
  </w:style>
  <w:style w:type="paragraph" w:styleId="Revision">
    <w:name w:val="Revision"/>
    <w:hidden/>
    <w:uiPriority w:val="99"/>
    <w:semiHidden/>
    <w:rsid w:val="003D5A2F"/>
    <w:pPr>
      <w:spacing w:after="0" w:line="240" w:lineRule="auto"/>
    </w:pPr>
  </w:style>
  <w:style w:type="paragraph" w:styleId="NoSpacing">
    <w:name w:val="No Spacing"/>
    <w:link w:val="NoSpacingChar"/>
    <w:uiPriority w:val="1"/>
    <w:qFormat/>
    <w:rsid w:val="0084578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45788"/>
    <w:rPr>
      <w:rFonts w:eastAsiaTheme="minorEastAsia"/>
      <w:lang w:val="en-US"/>
    </w:rPr>
  </w:style>
  <w:style w:type="character" w:styleId="Emphasis">
    <w:name w:val="Emphasis"/>
    <w:basedOn w:val="DefaultParagraphFont"/>
    <w:uiPriority w:val="20"/>
    <w:qFormat/>
    <w:rsid w:val="008457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safebc.com/en/law-policy/occupational-health-safety/searchable-ohs-regul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ksafebc.com/en/resources/health-safety/interactive-tools/managing-safety-in-education?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ksafebc.com/en/health-safety/hazards-exposures/viole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orksafebc.com/en/health-safety/create-manage/managing-risk/controlling-risks" TargetMode="External"/><Relationship Id="rId4" Type="http://schemas.openxmlformats.org/officeDocument/2006/relationships/settings" Target="settings.xml"/><Relationship Id="rId9" Type="http://schemas.openxmlformats.org/officeDocument/2006/relationships/hyperlink" Target="https://www.worksafebc.com/en/law-policy/occupational-health-safety/workers-compensation-ac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D4764-AF58-4375-AF1A-28C1A467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WorkSafeBC</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Russell</dc:creator>
  <cp:lastModifiedBy>Megane Goulet</cp:lastModifiedBy>
  <cp:revision>3</cp:revision>
  <cp:lastPrinted>2021-06-22T21:28:00Z</cp:lastPrinted>
  <dcterms:created xsi:type="dcterms:W3CDTF">2021-06-22T21:29:00Z</dcterms:created>
  <dcterms:modified xsi:type="dcterms:W3CDTF">2021-10-27T18:10:00Z</dcterms:modified>
</cp:coreProperties>
</file>